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29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bookmarkStart w:id="2" w:name="_GoBack"/>
      <w:bookmarkEnd w:id="2"/>
      <w:r>
        <w:rPr>
          <w:rFonts w:ascii="仿宋" w:hAnsi="仿宋" w:eastAsia="仿宋"/>
          <w:sz w:val="32"/>
          <w:szCs w:val="32"/>
        </w:rPr>
        <w:tab/>
      </w:r>
    </w:p>
    <w:tbl>
      <w:tblPr>
        <w:tblStyle w:val="8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19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开展质量提升行动推进高质量发展2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020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98" w:type="dxa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工作任务内容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一、提升制造业质量发展水平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实施质量强市战略，突出重点产业、重点行业质量提升。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质量科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持续开展乳制品、肉制品及餐饮质量安全提升行动。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食品生产科、餐饮科各负其责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深化食品生产安全体系检查。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食品生产科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三、提升服务业质量发展水平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全面开展校园食品安全守护行动，巩固幼儿园、中小学食堂“明厨亮灶”全覆盖，“互联网+明厨亮灶”覆盖率大幅提高。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餐饮科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Hlk47943863"/>
            <w:r>
              <w:rPr>
                <w:rFonts w:hint="eastAsia" w:ascii="仿宋" w:hAnsi="仿宋" w:eastAsia="仿宋"/>
                <w:sz w:val="24"/>
                <w:szCs w:val="24"/>
              </w:rPr>
              <w:t>加大对电商平台（网站）和广告的监测监管力度，依法查处违法违规发布广告和提供交易的行为。落实电商平台主体责任，探索建立维护行业有序健康可持续发展的秩序。</w:t>
            </w:r>
            <w:bookmarkEnd w:id="0"/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网监科、广告科、综合执法支队各负其责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五、提升社会治理和公共服务水平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化商事制度改革，推进先照后证、“多证合一、一照一码”和“证照分离”等改革措施有效落实。配合推广企业开办全程网上办理，进一步压缩开办时间。加强市场主体“个转企”、“小升规”业务指导和政策宣传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登记注册指导科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深入推进放心消费创建工作。加快推进消保委组建工作，健全县区消保组织，大力支持公益诉讼和集体诉讼。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消保科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八、提升科技创新能力水平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推进市场监管系统科技信息化建设。推动“互联网+市场监管”，加快智慧监管平台建设，推进系统数据共享共用。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信用监管科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九、提升品牌建设水平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加快推动知识产权创造、保护、运用。指导督促县区实施国家级（省级）知识产权强县工程。加强对商标、专利代理行为的监管力度。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知识产权科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十、提升标准化发展水平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全面实施标准化战略，进一步完善地方标准体系，持续推进企业产品和服务标准自我声明公开，加大对团体标准发展的培育、指导。</w:t>
            </w:r>
          </w:p>
        </w:tc>
        <w:tc>
          <w:tcPr>
            <w:tcW w:w="2268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标准化科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高标准完成3个省级农业标准化示范区项目和3个省级美丽乡村标准化试点项目年度建设任务。</w:t>
            </w:r>
          </w:p>
        </w:tc>
        <w:tc>
          <w:tcPr>
            <w:tcW w:w="2268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十一、提升计量基础能力水平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配合开展计量信息化建设与推广，提高计量信息化管理水平。</w:t>
            </w:r>
          </w:p>
        </w:tc>
        <w:tc>
          <w:tcPr>
            <w:tcW w:w="2268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计量认证科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继续强化计量技术机构管理，重点加强计量技术机构检定行为规范化管理。</w:t>
            </w:r>
          </w:p>
        </w:tc>
        <w:tc>
          <w:tcPr>
            <w:tcW w:w="2268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十二、提升合格评定水平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配合推进认证认可制度改革，落实企业自主权和主体责任，强化认证认可与检验检测资质监管，进一步激发检验检测市场活力。</w:t>
            </w:r>
          </w:p>
        </w:tc>
        <w:tc>
          <w:tcPr>
            <w:tcW w:w="2268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计量认证科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组织开展强制性认证产品（CCC）监督检查。探索性开展自愿性认证（质量管理体系ISO9000\环境管理体系认证、职业健康管理体系认证和有机产品认证）监管。</w:t>
            </w:r>
          </w:p>
        </w:tc>
        <w:tc>
          <w:tcPr>
            <w:tcW w:w="2268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十三、提升质量基础设施融合发展水平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引导质量技术机构提升综合服务能力，探索“一站式”服务。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质检中心、食药检中心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十四、提升全面质量监管水平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以食品、药品、特种设备、重点工业产品等特殊领域为重点，综合运用多种监管方式，开展生产、经营、使用、检测等各环节全过程监管。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食品协调科、食品生产科、食品流通科、药化监管科、医疗器械科、特设科、质量科各负其责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对抽查、抽检、群众举报、部门转办、舆论关注度高的突出问题，组织开展专项整治，加大监管执法力度。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消保科、综合执法支队各负其责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开展网络市场专项执法，加强线上线下一体化监管。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网监科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立药品全生命周期监管机制，全面加强药品监管。完善药品安全风险防控机制，排查药品、医疗器械和化妆品安全隐患，实现监管全覆盖，问题整改到位率100%。加强药品监管能力建设，科学运用现场检查、监督抽验、监测评估等手段，强化高风险药品监管，确保公众用药安全、有效、可及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药化监管科、医疗器械科各负其责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十五、提升质量共治水平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编制2</w:t>
            </w:r>
            <w:r>
              <w:rPr>
                <w:rFonts w:ascii="仿宋" w:hAnsi="仿宋" w:eastAsia="仿宋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年全市质量状况分析报告上报省市场监管局，为促进全省质量发展工作提供参考。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质量科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针对消费欺诈、侵犯个人信息等问题开展专项整治，妥善应对重大消费维权事件。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消保科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依法制定“双随机、一公开”抽查事项清单，动态维护“两库”信息，科学制定抽查计划，严密组织实施抽查。推进实施部门联合抽查，实现市场监管领域“双随机、一公开”监管全覆盖、常态化。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信用监管科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1" w:name="_Hlk47944014"/>
            <w:r>
              <w:rPr>
                <w:rFonts w:hint="eastAsia" w:ascii="仿宋" w:hAnsi="仿宋" w:eastAsia="仿宋"/>
                <w:sz w:val="24"/>
                <w:szCs w:val="24"/>
              </w:rPr>
              <w:t>强化部门区域协作，扎实推进打击侵权假冒工作。严格规范直销，严厉打击传销违法行为。</w:t>
            </w:r>
            <w:bookmarkEnd w:id="1"/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知识产权科，价竞科，综合执法支队各负其责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十六、提升质量信用体系建设水平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推进信用信息归集，实现数据的归集共享公示。推进企业信用风险分类监管。强化失信联合惩戒，实现“一处违法、处处受限”。</w:t>
            </w:r>
          </w:p>
        </w:tc>
        <w:tc>
          <w:tcPr>
            <w:tcW w:w="2268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信用监管科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强化企业年报主体责任，推行“微信年报”。</w:t>
            </w:r>
          </w:p>
        </w:tc>
        <w:tc>
          <w:tcPr>
            <w:tcW w:w="2268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十七、提升质量发展制度化水平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继续推进工业产品生产许可证产品目录压减和审批程序简化，做好省局审批权限下放承接工作。推动“一企一证”和“告知承诺”。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登记注册指导科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配合省市场监管局推动建立行业和区域产品质量安全监测预警机制，及时跟踪监测和防范化解行业性、区域性产品质量安全风险。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质量科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二十、提升质量激励水平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11198" w:type="dxa"/>
          </w:tcPr>
          <w:p>
            <w:pPr>
              <w:widowControl/>
              <w:tabs>
                <w:tab w:val="left" w:pos="6315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鼓励引导企业积极参与质量奖评选活动，树立质量标杆，弘扬质量先进。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质量科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5B"/>
    <w:rsid w:val="000167C3"/>
    <w:rsid w:val="00023430"/>
    <w:rsid w:val="00032D73"/>
    <w:rsid w:val="00040196"/>
    <w:rsid w:val="00054DDA"/>
    <w:rsid w:val="00063158"/>
    <w:rsid w:val="0006434C"/>
    <w:rsid w:val="000E4646"/>
    <w:rsid w:val="0010065E"/>
    <w:rsid w:val="001114BF"/>
    <w:rsid w:val="001333AC"/>
    <w:rsid w:val="001601CA"/>
    <w:rsid w:val="00163E3D"/>
    <w:rsid w:val="001851A3"/>
    <w:rsid w:val="001F1C72"/>
    <w:rsid w:val="002006DE"/>
    <w:rsid w:val="002259B6"/>
    <w:rsid w:val="002270CE"/>
    <w:rsid w:val="00240498"/>
    <w:rsid w:val="00270410"/>
    <w:rsid w:val="00296C4D"/>
    <w:rsid w:val="002C61D1"/>
    <w:rsid w:val="002E481C"/>
    <w:rsid w:val="002F4DD6"/>
    <w:rsid w:val="002F78AC"/>
    <w:rsid w:val="00320E34"/>
    <w:rsid w:val="00394F69"/>
    <w:rsid w:val="0039552A"/>
    <w:rsid w:val="00395F4C"/>
    <w:rsid w:val="003D119B"/>
    <w:rsid w:val="003D468E"/>
    <w:rsid w:val="004334BD"/>
    <w:rsid w:val="00462818"/>
    <w:rsid w:val="004829E3"/>
    <w:rsid w:val="00487B20"/>
    <w:rsid w:val="00491E35"/>
    <w:rsid w:val="004B7662"/>
    <w:rsid w:val="004D2AFE"/>
    <w:rsid w:val="004D5BE0"/>
    <w:rsid w:val="004D7014"/>
    <w:rsid w:val="004F548A"/>
    <w:rsid w:val="00535E0A"/>
    <w:rsid w:val="005614ED"/>
    <w:rsid w:val="005650CA"/>
    <w:rsid w:val="00567D2A"/>
    <w:rsid w:val="00597BDF"/>
    <w:rsid w:val="005A0F0B"/>
    <w:rsid w:val="005B113C"/>
    <w:rsid w:val="005B7995"/>
    <w:rsid w:val="005D6887"/>
    <w:rsid w:val="005F2E74"/>
    <w:rsid w:val="006117AF"/>
    <w:rsid w:val="006312E1"/>
    <w:rsid w:val="00653F8C"/>
    <w:rsid w:val="006923C6"/>
    <w:rsid w:val="006C5A76"/>
    <w:rsid w:val="006D0942"/>
    <w:rsid w:val="006D136D"/>
    <w:rsid w:val="006F4FD3"/>
    <w:rsid w:val="00700CD4"/>
    <w:rsid w:val="00745DD1"/>
    <w:rsid w:val="007860AE"/>
    <w:rsid w:val="007A40F5"/>
    <w:rsid w:val="007A604E"/>
    <w:rsid w:val="007C1020"/>
    <w:rsid w:val="007D1B1C"/>
    <w:rsid w:val="008054B0"/>
    <w:rsid w:val="008166FA"/>
    <w:rsid w:val="00831C94"/>
    <w:rsid w:val="00866197"/>
    <w:rsid w:val="008C58E6"/>
    <w:rsid w:val="008C7EFF"/>
    <w:rsid w:val="008E14AB"/>
    <w:rsid w:val="008E5B44"/>
    <w:rsid w:val="00923337"/>
    <w:rsid w:val="009259F3"/>
    <w:rsid w:val="00933BFE"/>
    <w:rsid w:val="00935712"/>
    <w:rsid w:val="00955420"/>
    <w:rsid w:val="00961BF3"/>
    <w:rsid w:val="00974766"/>
    <w:rsid w:val="00983BB2"/>
    <w:rsid w:val="00991BF5"/>
    <w:rsid w:val="009A3C4F"/>
    <w:rsid w:val="009A4466"/>
    <w:rsid w:val="009B72F0"/>
    <w:rsid w:val="009C1D9B"/>
    <w:rsid w:val="00A031A0"/>
    <w:rsid w:val="00A25FBB"/>
    <w:rsid w:val="00A26EB1"/>
    <w:rsid w:val="00A45C23"/>
    <w:rsid w:val="00AD1446"/>
    <w:rsid w:val="00AE04D7"/>
    <w:rsid w:val="00AE3265"/>
    <w:rsid w:val="00AF4F98"/>
    <w:rsid w:val="00AF60AB"/>
    <w:rsid w:val="00B11BB0"/>
    <w:rsid w:val="00B336DC"/>
    <w:rsid w:val="00B467D6"/>
    <w:rsid w:val="00B75313"/>
    <w:rsid w:val="00BC233C"/>
    <w:rsid w:val="00BC3567"/>
    <w:rsid w:val="00BD01B5"/>
    <w:rsid w:val="00C46A73"/>
    <w:rsid w:val="00C85552"/>
    <w:rsid w:val="00CB59A8"/>
    <w:rsid w:val="00CE638B"/>
    <w:rsid w:val="00D22B4B"/>
    <w:rsid w:val="00D421DE"/>
    <w:rsid w:val="00D42567"/>
    <w:rsid w:val="00D45EE2"/>
    <w:rsid w:val="00D47F7D"/>
    <w:rsid w:val="00D7045B"/>
    <w:rsid w:val="00D81099"/>
    <w:rsid w:val="00DA2AF7"/>
    <w:rsid w:val="00DA5803"/>
    <w:rsid w:val="00DB0903"/>
    <w:rsid w:val="00DB1738"/>
    <w:rsid w:val="00DB4C19"/>
    <w:rsid w:val="00E11F88"/>
    <w:rsid w:val="00E1719D"/>
    <w:rsid w:val="00E5535B"/>
    <w:rsid w:val="00E63B4E"/>
    <w:rsid w:val="00E77818"/>
    <w:rsid w:val="00EA0F78"/>
    <w:rsid w:val="00EA4ABE"/>
    <w:rsid w:val="00EB2D00"/>
    <w:rsid w:val="00EB7803"/>
    <w:rsid w:val="00EC7C8B"/>
    <w:rsid w:val="00EE4A41"/>
    <w:rsid w:val="00EE523F"/>
    <w:rsid w:val="00EF3288"/>
    <w:rsid w:val="00F62D69"/>
    <w:rsid w:val="00F64C48"/>
    <w:rsid w:val="00F72255"/>
    <w:rsid w:val="00FA3DC2"/>
    <w:rsid w:val="00FA5681"/>
    <w:rsid w:val="00FB4320"/>
    <w:rsid w:val="165C7976"/>
    <w:rsid w:val="39B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2095</Characters>
  <Lines>17</Lines>
  <Paragraphs>4</Paragraphs>
  <TotalTime>654</TotalTime>
  <ScaleCrop>false</ScaleCrop>
  <LinksUpToDate>false</LinksUpToDate>
  <CharactersWithSpaces>2458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2020-10-22T01:12:00Z</dcterms:created>
  <dc:creator>kang guo</dc:creator>
  <cp:lastModifiedBy>Administrator</cp:lastModifiedBy>
  <cp:lastPrinted>2020-11-09T06:15:00Z</cp:lastPrinted>
  <dcterms:modified xsi:type="dcterms:W3CDTF">2020-11-09T07:09:37Z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