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30" w:lineRule="atLeast"/>
        <w:ind w:firstLine="480"/>
        <w:jc w:val="left"/>
        <w:rPr>
          <w:rFonts w:hint="eastAsia" w:ascii="黑体" w:hAnsi="黑体" w:eastAsia="黑体" w:cs="黑体"/>
          <w:sz w:val="32"/>
          <w:szCs w:val="32"/>
        </w:rPr>
      </w:pPr>
      <w:r>
        <w:rPr>
          <w:rFonts w:hint="eastAsia" w:ascii="黑体" w:hAnsi="黑体" w:eastAsia="黑体" w:cs="黑体"/>
          <w:sz w:val="32"/>
          <w:szCs w:val="32"/>
        </w:rPr>
        <w:t>附件1</w:t>
      </w:r>
    </w:p>
    <w:p>
      <w:pPr>
        <w:pStyle w:val="3"/>
        <w:tabs>
          <w:tab w:val="left" w:pos="5490"/>
          <w:tab w:val="right" w:pos="8503"/>
        </w:tabs>
        <w:spacing w:before="156" w:after="156"/>
        <w:ind w:firstLine="0" w:firstLineChars="0"/>
        <w:jc w:val="right"/>
        <w:rPr>
          <w:rFonts w:eastAsia="宋体"/>
          <w:b/>
          <w:sz w:val="96"/>
          <w:szCs w:val="96"/>
        </w:rPr>
      </w:pPr>
      <w:bookmarkStart w:id="0" w:name="_Toc24570"/>
      <w:bookmarkStart w:id="1" w:name="_Toc26264"/>
      <w:bookmarkStart w:id="2" w:name="_Toc5202"/>
      <w:bookmarkStart w:id="3" w:name="_Toc17849"/>
      <w:bookmarkStart w:id="4" w:name="_Toc9807"/>
      <w:bookmarkStart w:id="5" w:name="_Toc15105"/>
      <w:r>
        <w:rPr>
          <w:rFonts w:hint="eastAsia" w:eastAsia="宋体"/>
          <w:b/>
          <w:sz w:val="96"/>
          <w:szCs w:val="96"/>
        </w:rPr>
        <w:t>DB6109</w:t>
      </w:r>
      <w:bookmarkEnd w:id="0"/>
      <w:bookmarkEnd w:id="1"/>
      <w:bookmarkEnd w:id="2"/>
      <w:bookmarkEnd w:id="3"/>
      <w:bookmarkEnd w:id="4"/>
      <w:bookmarkEnd w:id="5"/>
    </w:p>
    <w:p>
      <w:pPr>
        <w:snapToGrid w:val="0"/>
        <w:spacing w:line="336" w:lineRule="auto"/>
        <w:rPr>
          <w:rFonts w:ascii="华康简标题宋" w:eastAsia="华康简标题宋"/>
          <w:sz w:val="32"/>
        </w:rPr>
      </w:pPr>
      <w:r>
        <w:rPr>
          <w:rFonts w:hint="eastAsia" w:ascii="华康简标题宋" w:eastAsia="华康简标题宋"/>
          <w:spacing w:val="338"/>
          <w:kern w:val="0"/>
          <w:sz w:val="62"/>
          <w:fitText w:val="8400" w:id="1396065965"/>
        </w:rPr>
        <w:t>安康市地方标</w:t>
      </w:r>
      <w:r>
        <w:rPr>
          <w:rFonts w:hint="eastAsia" w:ascii="华康简标题宋" w:eastAsia="华康简标题宋"/>
          <w:spacing w:val="2"/>
          <w:kern w:val="0"/>
          <w:sz w:val="62"/>
          <w:fitText w:val="8400" w:id="1396065965"/>
        </w:rPr>
        <w:t>准</w:t>
      </w:r>
    </w:p>
    <w:p>
      <w:pPr>
        <w:snapToGrid w:val="0"/>
        <w:ind w:firstLine="4960" w:firstLineChars="1550"/>
        <w:rPr>
          <w:rFonts w:ascii="黑体" w:eastAsia="黑体"/>
          <w:sz w:val="32"/>
        </w:rPr>
      </w:pPr>
      <w:r>
        <w:rPr>
          <w:rFonts w:hint="eastAsia" w:ascii="黑体" w:eastAsia="黑体"/>
          <w:sz w:val="32"/>
        </w:rPr>
        <w:t>DB6109/T×××-202</w:t>
      </w:r>
      <w:r>
        <w:rPr>
          <w:rFonts w:ascii="黑体" w:eastAsia="黑体"/>
          <w:sz w:val="32"/>
        </w:rPr>
        <w:t>3</w:t>
      </w:r>
    </w:p>
    <w:p>
      <w:pPr>
        <w:snapToGrid w:val="0"/>
        <w:spacing w:line="348" w:lineRule="auto"/>
        <w:ind w:firstLine="400"/>
        <w:rPr>
          <w:rFonts w:ascii="黑体" w:eastAsia="黑体"/>
          <w:sz w:val="32"/>
        </w:rPr>
      </w:pPr>
      <w:r>
        <w:rPr>
          <w:rFonts w:ascii="黑体" w:eastAsia="黑体"/>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110490</wp:posOffset>
                </wp:positionV>
                <wp:extent cx="5600700" cy="0"/>
                <wp:effectExtent l="0" t="9525" r="0" b="9525"/>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8.7pt;height:0pt;width:441pt;z-index:251660288;mso-width-relative:page;mso-height-relative:page;" coordsize="21600,21600" o:gfxdata="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djKa41QAAAAkBAAAPAAAAAAAAAAEAIAAAACIAAABkcnMvZG93bnJldi54bWxQSwECFAAUAAAA&#10;CACHTuJAnV8PjPEBAADnAwAADgAAAAAAAAABACAAAAAkAQAAZHJzL2Uyb0RvYy54bWxQSwUGAAAA&#10;AAYABgBZAQAAhwUAAAAA&#10;">
                <v:path arrowok="t"/>
                <v:fill focussize="0,0"/>
                <v:stroke weight="1.5pt"/>
                <v:imagedata o:title=""/>
                <o:lock v:ext="edit"/>
              </v:line>
            </w:pict>
          </mc:Fallback>
        </mc:AlternateContent>
      </w:r>
    </w:p>
    <w:p>
      <w:pPr>
        <w:snapToGrid w:val="0"/>
        <w:spacing w:line="348" w:lineRule="auto"/>
        <w:ind w:firstLine="640"/>
        <w:rPr>
          <w:rFonts w:ascii="黑体" w:eastAsia="黑体"/>
          <w:sz w:val="32"/>
        </w:rPr>
      </w:pPr>
    </w:p>
    <w:p>
      <w:pPr>
        <w:snapToGrid w:val="0"/>
        <w:spacing w:line="348" w:lineRule="auto"/>
        <w:ind w:firstLine="1120"/>
        <w:rPr>
          <w:rFonts w:ascii="黑体" w:eastAsia="黑体"/>
          <w:sz w:val="56"/>
          <w:szCs w:val="36"/>
        </w:rPr>
      </w:pPr>
    </w:p>
    <w:p>
      <w:pPr>
        <w:snapToGrid w:val="0"/>
        <w:spacing w:line="348" w:lineRule="auto"/>
        <w:jc w:val="center"/>
        <w:rPr>
          <w:rFonts w:ascii="黑体" w:eastAsia="黑体"/>
          <w:sz w:val="56"/>
          <w:szCs w:val="56"/>
        </w:rPr>
      </w:pPr>
      <w:r>
        <w:rPr>
          <w:rFonts w:hint="eastAsia" w:ascii="黑体" w:hAnsi="黑体" w:eastAsia="黑体"/>
          <w:sz w:val="56"/>
          <w:szCs w:val="56"/>
        </w:rPr>
        <w:t>富硒桑叶生产技术规程</w:t>
      </w:r>
    </w:p>
    <w:p>
      <w:pPr>
        <w:spacing w:line="480" w:lineRule="exact"/>
        <w:ind w:firstLine="2640" w:firstLineChars="6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（征求意见稿）</w:t>
      </w:r>
    </w:p>
    <w:p>
      <w:pPr>
        <w:snapToGrid w:val="0"/>
        <w:spacing w:line="348" w:lineRule="auto"/>
        <w:ind w:firstLine="640"/>
        <w:rPr>
          <w:rFonts w:ascii="黑体" w:eastAsia="黑体"/>
          <w:sz w:val="32"/>
        </w:rPr>
      </w:pPr>
    </w:p>
    <w:p>
      <w:pPr>
        <w:snapToGrid w:val="0"/>
        <w:spacing w:line="348" w:lineRule="auto"/>
        <w:ind w:firstLine="640"/>
        <w:rPr>
          <w:rFonts w:ascii="黑体" w:eastAsia="黑体"/>
          <w:sz w:val="32"/>
        </w:rPr>
      </w:pPr>
    </w:p>
    <w:p>
      <w:pPr>
        <w:snapToGrid w:val="0"/>
        <w:spacing w:line="348" w:lineRule="auto"/>
        <w:ind w:firstLine="320"/>
        <w:rPr>
          <w:rFonts w:ascii="黑体" w:eastAsia="黑体"/>
          <w:sz w:val="16"/>
        </w:rPr>
      </w:pPr>
    </w:p>
    <w:p>
      <w:pPr>
        <w:snapToGrid w:val="0"/>
        <w:spacing w:line="348" w:lineRule="auto"/>
        <w:ind w:firstLine="640"/>
        <w:rPr>
          <w:rFonts w:ascii="黑体" w:eastAsia="黑体"/>
          <w:sz w:val="32"/>
        </w:rPr>
      </w:pPr>
    </w:p>
    <w:p>
      <w:pPr>
        <w:snapToGrid w:val="0"/>
        <w:spacing w:line="348" w:lineRule="auto"/>
        <w:ind w:firstLine="640"/>
        <w:rPr>
          <w:rFonts w:ascii="黑体" w:eastAsia="黑体"/>
          <w:sz w:val="32"/>
        </w:rPr>
      </w:pPr>
    </w:p>
    <w:p>
      <w:pPr>
        <w:snapToGrid w:val="0"/>
        <w:spacing w:line="348" w:lineRule="auto"/>
        <w:ind w:firstLine="640"/>
        <w:rPr>
          <w:rFonts w:ascii="黑体" w:eastAsia="黑体"/>
          <w:sz w:val="32"/>
        </w:rPr>
      </w:pPr>
    </w:p>
    <w:p>
      <w:pPr>
        <w:snapToGrid w:val="0"/>
        <w:spacing w:line="348" w:lineRule="auto"/>
        <w:ind w:firstLine="640"/>
        <w:rPr>
          <w:rFonts w:ascii="黑体" w:eastAsia="黑体"/>
          <w:sz w:val="32"/>
        </w:rPr>
      </w:pPr>
    </w:p>
    <w:p>
      <w:pPr>
        <w:snapToGrid w:val="0"/>
        <w:spacing w:line="348" w:lineRule="auto"/>
        <w:ind w:firstLine="640"/>
        <w:rPr>
          <w:rFonts w:ascii="黑体" w:eastAsia="黑体"/>
          <w:sz w:val="32"/>
        </w:rPr>
      </w:pPr>
    </w:p>
    <w:p>
      <w:pPr>
        <w:snapToGrid w:val="0"/>
        <w:spacing w:line="348" w:lineRule="auto"/>
        <w:rPr>
          <w:rFonts w:ascii="黑体" w:eastAsia="黑体"/>
          <w:sz w:val="32"/>
        </w:rPr>
      </w:pPr>
      <w:bookmarkStart w:id="31" w:name="_GoBack"/>
      <w:r>
        <w:rPr>
          <w:rFonts w:ascii="黑体" w:eastAsia="黑体"/>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306070</wp:posOffset>
                </wp:positionV>
                <wp:extent cx="5600700" cy="0"/>
                <wp:effectExtent l="0" t="9525" r="0" b="9525"/>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9pt;margin-top:24.1pt;height:0pt;width:441pt;z-index:251661312;mso-width-relative:page;mso-height-relative:page;" coordsize="21600,21600" o:gfxdata="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PkOqI9YAAAAJAQAADwAAAAAAAAABACAAAAAiAAAAZHJzL2Rvd25yZXYueG1sUEsBAhQAFAAA&#10;AAgAh07iQJqBPV3xAQAA5wMAAA4AAAAAAAAAAQAgAAAAJQEAAGRycy9lMm9Eb2MueG1sUEsFBgAA&#10;AAAGAAYAWQEAAIgFAAAAAA==&#10;">
                <v:path arrowok="t"/>
                <v:fill focussize="0,0"/>
                <v:stroke weight="1.5pt"/>
                <v:imagedata o:title=""/>
                <o:lock v:ext="edit"/>
              </v:line>
            </w:pict>
          </mc:Fallback>
        </mc:AlternateContent>
      </w:r>
      <w:bookmarkEnd w:id="31"/>
      <w:r>
        <w:rPr>
          <w:rFonts w:hint="eastAsia" w:ascii="黑体" w:eastAsia="黑体"/>
          <w:sz w:val="32"/>
        </w:rPr>
        <w:t>202</w:t>
      </w:r>
      <w:r>
        <w:rPr>
          <w:rFonts w:ascii="黑体" w:eastAsia="黑体"/>
          <w:sz w:val="32"/>
        </w:rPr>
        <w:t>3</w:t>
      </w:r>
      <w:r>
        <w:rPr>
          <w:rFonts w:hint="eastAsia" w:ascii="黑体" w:eastAsia="黑体"/>
          <w:sz w:val="32"/>
        </w:rPr>
        <w:t>-××-××发布                 202</w:t>
      </w:r>
      <w:r>
        <w:rPr>
          <w:rFonts w:ascii="黑体" w:eastAsia="黑体"/>
          <w:sz w:val="32"/>
        </w:rPr>
        <w:t>3</w:t>
      </w:r>
      <w:r>
        <w:rPr>
          <w:rFonts w:hint="eastAsia" w:ascii="黑体" w:eastAsia="黑体"/>
          <w:sz w:val="32"/>
        </w:rPr>
        <w:t>-××-××实施</w:t>
      </w:r>
    </w:p>
    <w:p>
      <w:pPr>
        <w:snapToGrid w:val="0"/>
        <w:spacing w:line="348" w:lineRule="auto"/>
        <w:ind w:firstLine="320"/>
        <w:jc w:val="center"/>
        <w:rPr>
          <w:rFonts w:ascii="黑体" w:eastAsia="黑体"/>
          <w:sz w:val="16"/>
        </w:rPr>
      </w:pPr>
    </w:p>
    <w:p>
      <w:pPr>
        <w:snapToGrid w:val="0"/>
        <w:spacing w:line="348" w:lineRule="auto"/>
        <w:ind w:firstLine="1140"/>
        <w:rPr>
          <w:rFonts w:eastAsia="黑体"/>
          <w:sz w:val="28"/>
        </w:rPr>
      </w:pPr>
      <w:r>
        <w:rPr>
          <w:rFonts w:hint="eastAsia" w:eastAsia="华康简标题宋"/>
          <w:w w:val="150"/>
          <w:sz w:val="38"/>
        </w:rPr>
        <w:t>安康市市场监督管理局</w:t>
      </w:r>
      <w:r>
        <w:rPr>
          <w:rFonts w:hint="eastAsia" w:eastAsia="黑体"/>
          <w:sz w:val="28"/>
        </w:rPr>
        <w:t>发布</w:t>
      </w:r>
    </w:p>
    <w:p>
      <w:pPr>
        <w:snapToGrid w:val="0"/>
        <w:spacing w:line="348" w:lineRule="auto"/>
        <w:rPr>
          <w:sz w:val="28"/>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0" w:footer="1418" w:gutter="567"/>
          <w:paperSrc w:first="1" w:other="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bCs/>
          <w:sz w:val="44"/>
          <w:szCs w:val="44"/>
        </w:rPr>
      </w:pPr>
      <w:bookmarkStart w:id="6" w:name="_Toc22176"/>
      <w:r>
        <w:rPr>
          <w:rFonts w:hint="eastAsia" w:ascii="方正小标宋简体" w:hAnsi="方正小标宋简体" w:eastAsia="方正小标宋简体" w:cs="方正小标宋简体"/>
          <w:sz w:val="44"/>
          <w:szCs w:val="44"/>
        </w:rPr>
        <w:t>前</w:t>
      </w:r>
      <w:bookmarkStart w:id="7" w:name="BKQY"/>
      <w:r>
        <w:rPr>
          <w:rFonts w:hint="eastAsia" w:ascii="方正小标宋简体" w:hAnsi="方正小标宋简体" w:eastAsia="方正小标宋简体" w:cs="方正小标宋简体"/>
          <w:sz w:val="44"/>
          <w:szCs w:val="44"/>
        </w:rPr>
        <w:t>  言</w:t>
      </w:r>
      <w:bookmarkEnd w:id="6"/>
      <w:bookmarkEnd w:id="7"/>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本文件按照GB/T 1.1-2020《标准化工作导则 第1部分：标准化文件的结构和起草规则》的规定起草。</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本文件提出单位：西北农林科技大学、石泉县蚕桑发展服务中心。</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本文件归口单位：安康市农业农村局。</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本文件起草单位：西北农林科技大学、石泉县蚕桑发展服务中心、安康市富硒产品研发中心。</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本文件主要起草人：苏超、包立军、焦锋、姚程杰、张敏娟、陈旗、廉喜红、张立君、谢进军、严晓鹤、陈贵攀、夏曾润、杜小平、赵波、陈杰、杜寒、文 霞、谭琪、吴礼兵。</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本文件由西北农林科技大学负责解释。</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本文件首次发布。</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联系信息如下：</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单位：西北农林科技大学动物科技学院。</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地址：陕西省杨凌示范区西农路22号。</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电话：029-87091948</w:t>
      </w:r>
    </w:p>
    <w:p>
      <w:pPr>
        <w:pStyle w:val="8"/>
        <w:keepNext w:val="0"/>
        <w:keepLines w:val="0"/>
        <w:pageBreakBefore w:val="0"/>
        <w:widowControl/>
        <w:kinsoku/>
        <w:wordWrap/>
        <w:overflowPunct/>
        <w:topLinePunct w:val="0"/>
        <w:autoSpaceDE w:val="0"/>
        <w:autoSpaceDN w:val="0"/>
        <w:bidi w:val="0"/>
        <w:adjustRightInd/>
        <w:snapToGrid/>
        <w:spacing w:line="560" w:lineRule="exact"/>
        <w:ind w:firstLine="56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邮编：712100</w:t>
      </w:r>
    </w:p>
    <w:p>
      <w:pPr>
        <w:pStyle w:val="8"/>
        <w:ind w:firstLine="560"/>
        <w:rPr>
          <w:rFonts w:ascii="仿宋" w:hAnsi="仿宋"/>
          <w:sz w:val="28"/>
          <w:szCs w:val="28"/>
        </w:rPr>
      </w:pPr>
    </w:p>
    <w:p>
      <w:pPr>
        <w:pStyle w:val="8"/>
        <w:rPr>
          <w:rFonts w:ascii="Times New Roman"/>
        </w:rPr>
      </w:pPr>
    </w:p>
    <w:p>
      <w:pPr>
        <w:spacing w:line="480" w:lineRule="exact"/>
        <w:ind w:firstLine="723"/>
        <w:jc w:val="center"/>
        <w:rPr>
          <w:rFonts w:eastAsia="黑体"/>
          <w:b/>
          <w:sz w:val="36"/>
          <w:szCs w:val="36"/>
        </w:rPr>
      </w:pPr>
      <w:bookmarkStart w:id="8" w:name="_Hlk57792883"/>
    </w:p>
    <w:p>
      <w:pPr>
        <w:spacing w:line="480" w:lineRule="exact"/>
        <w:ind w:firstLine="723"/>
        <w:jc w:val="center"/>
        <w:rPr>
          <w:rFonts w:eastAsia="黑体"/>
          <w:b/>
          <w:sz w:val="36"/>
          <w:szCs w:val="36"/>
        </w:rPr>
      </w:pPr>
    </w:p>
    <w:p>
      <w:pPr>
        <w:spacing w:line="480" w:lineRule="exact"/>
        <w:jc w:val="left"/>
        <w:rPr>
          <w:rFonts w:eastAsia="黑体"/>
          <w:bCs/>
          <w:sz w:val="32"/>
          <w:szCs w:val="32"/>
        </w:rPr>
        <w:sectPr>
          <w:headerReference r:id="rId9" w:type="default"/>
          <w:footerReference r:id="rId10" w:type="default"/>
          <w:pgSz w:w="11906" w:h="16838"/>
          <w:pgMar w:top="1440" w:right="1800" w:bottom="1440" w:left="1800" w:header="907" w:footer="992" w:gutter="0"/>
          <w:pgNumType w:fmt="upperRoman" w:start="1"/>
          <w:cols w:space="720" w:num="1"/>
          <w:docGrid w:type="lines" w:linePitch="312" w:charSpace="0"/>
        </w:sectPr>
      </w:pPr>
    </w:p>
    <w:p>
      <w:pPr>
        <w:spacing w:line="480" w:lineRule="exact"/>
        <w:jc w:val="center"/>
        <w:outlineLvl w:val="0"/>
        <w:rPr>
          <w:rFonts w:hint="eastAsia" w:ascii="方正小标宋简体" w:hAnsi="方正小标宋简体" w:eastAsia="方正小标宋简体" w:cs="方正小标宋简体"/>
          <w:bCs/>
          <w:sz w:val="44"/>
          <w:szCs w:val="44"/>
        </w:rPr>
      </w:pPr>
      <w:bookmarkStart w:id="9" w:name="_Toc26021"/>
      <w:r>
        <w:rPr>
          <w:rFonts w:hint="eastAsia" w:ascii="方正小标宋简体" w:hAnsi="方正小标宋简体" w:eastAsia="方正小标宋简体" w:cs="方正小标宋简体"/>
          <w:bCs/>
          <w:sz w:val="44"/>
          <w:szCs w:val="44"/>
        </w:rPr>
        <w:t>富硒桑叶生产技术规程</w:t>
      </w:r>
      <w:bookmarkEnd w:id="9"/>
    </w:p>
    <w:p>
      <w:pPr>
        <w:spacing w:line="420" w:lineRule="exact"/>
        <w:ind w:firstLine="643"/>
        <w:jc w:val="center"/>
        <w:rPr>
          <w:b/>
          <w:bCs/>
          <w:sz w:val="32"/>
        </w:rPr>
      </w:pP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0" w:name="_Toc22044"/>
      <w:r>
        <w:rPr>
          <w:rFonts w:hint="eastAsia" w:ascii="仿宋_GB2312" w:hAnsi="仿宋_GB2312" w:eastAsia="仿宋_GB2312" w:cs="仿宋_GB2312"/>
          <w:sz w:val="32"/>
          <w:szCs w:val="32"/>
        </w:rPr>
        <w:t>1  范围</w:t>
      </w:r>
      <w:bookmarkEnd w:id="10"/>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本文件规定了富硒桑叶生产技术的产地环境、生产技术、硒含量检测、标签标识、包装储运、建立生产档案等技术要求。</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本文件适用于安康市富硒桑叶的生产。</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1" w:name="_Toc17431"/>
      <w:r>
        <w:rPr>
          <w:rFonts w:hint="eastAsia" w:ascii="仿宋_GB2312" w:hAnsi="仿宋_GB2312" w:eastAsia="仿宋_GB2312" w:cs="仿宋_GB2312"/>
          <w:sz w:val="32"/>
          <w:szCs w:val="32"/>
        </w:rPr>
        <w:t>2  规范性引用文件</w:t>
      </w:r>
      <w:bookmarkEnd w:id="11"/>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2762 食品安全国家标准 食品中污染物限量</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5009.93 食品安全国家标准 食品中硒的测定</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 19173  桑树种子和苗木</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GB/T 8321 农药合理使用准则</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391 绿色食品 产地环境质量</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393 绿色食品 农药使用准则</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394绿色食品 肥料使用准则</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1027 桑园用药技术规程</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NY/T 1104 土壤中全硒的测定</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DB61/T 388.3 桑树栽培管理技术规程</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DB61/T 1404 果桑栽培技术规程</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DB6124/T 28 多倍体桑树品种栽培技术规程</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DB61/T 556-2018 富硒含硒食品与相关产品硒含量标准</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2" w:name="_Toc13363"/>
      <w:r>
        <w:rPr>
          <w:rFonts w:hint="eastAsia" w:ascii="仿宋_GB2312" w:hAnsi="仿宋_GB2312" w:eastAsia="仿宋_GB2312" w:cs="仿宋_GB2312"/>
          <w:sz w:val="32"/>
          <w:szCs w:val="32"/>
        </w:rPr>
        <w:t>3  术语和定义</w:t>
      </w:r>
      <w:bookmarkEnd w:id="12"/>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3" w:name="_Toc3361"/>
      <w:r>
        <w:rPr>
          <w:rFonts w:hint="eastAsia" w:ascii="仿宋_GB2312" w:hAnsi="仿宋_GB2312" w:eastAsia="仿宋_GB2312" w:cs="仿宋_GB2312"/>
          <w:sz w:val="32"/>
          <w:szCs w:val="32"/>
        </w:rPr>
        <w:t>3.1 天然富硒土地</w:t>
      </w:r>
      <w:bookmarkEnd w:id="13"/>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含有丰富天然硒元素、且有害重金属含量小于农用地土壤污染风险筛选值要求的土地。</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4" w:name="_Toc16447"/>
      <w:r>
        <w:rPr>
          <w:rFonts w:hint="eastAsia" w:ascii="仿宋_GB2312" w:hAnsi="仿宋_GB2312" w:eastAsia="仿宋_GB2312" w:cs="仿宋_GB2312"/>
          <w:sz w:val="32"/>
          <w:szCs w:val="32"/>
        </w:rPr>
        <w:t>3.2 富硒桑叶</w:t>
      </w:r>
      <w:bookmarkEnd w:id="14"/>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以安康市行政区域内天然富硒土地中生长的桑树鲜叶为原料，按照特定工艺制成的硒含量符合本标准富硒桑叶规定的桑叶。桑园土壤硒含量不低于0.2mg/kg。</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5" w:name="_Toc30"/>
      <w:r>
        <w:rPr>
          <w:rFonts w:hint="eastAsia" w:ascii="仿宋_GB2312" w:hAnsi="仿宋_GB2312" w:eastAsia="仿宋_GB2312" w:cs="仿宋_GB2312"/>
          <w:sz w:val="32"/>
          <w:szCs w:val="32"/>
        </w:rPr>
        <w:t>4  产地环境</w:t>
      </w:r>
      <w:bookmarkEnd w:id="15"/>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产地环境应符合NY/T 391的规定。</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6" w:name="_Toc15371"/>
      <w:r>
        <w:rPr>
          <w:rFonts w:hint="eastAsia" w:ascii="仿宋_GB2312" w:hAnsi="仿宋_GB2312" w:eastAsia="仿宋_GB2312" w:cs="仿宋_GB2312"/>
          <w:sz w:val="32"/>
          <w:szCs w:val="32"/>
        </w:rPr>
        <w:t>5生产技术</w:t>
      </w:r>
      <w:bookmarkEnd w:id="16"/>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7" w:name="_Toc16411"/>
      <w:r>
        <w:rPr>
          <w:rFonts w:hint="eastAsia" w:ascii="仿宋_GB2312" w:hAnsi="仿宋_GB2312" w:eastAsia="仿宋_GB2312" w:cs="仿宋_GB2312"/>
          <w:sz w:val="32"/>
          <w:szCs w:val="32"/>
        </w:rPr>
        <w:t>5.1 品种选择</w:t>
      </w:r>
      <w:bookmarkEnd w:id="17"/>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选用通过审定（认定）并具有富集硒作用的适宜本地种植的桑树品种。</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8" w:name="_Toc19729"/>
      <w:r>
        <w:rPr>
          <w:rFonts w:hint="eastAsia" w:ascii="仿宋_GB2312" w:hAnsi="仿宋_GB2312" w:eastAsia="仿宋_GB2312" w:cs="仿宋_GB2312"/>
          <w:sz w:val="32"/>
          <w:szCs w:val="32"/>
        </w:rPr>
        <w:t>5.2 苗木质量</w:t>
      </w:r>
      <w:bookmarkEnd w:id="18"/>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苗木质量应符合GB 19173要求。</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19" w:name="_Toc22699"/>
      <w:r>
        <w:rPr>
          <w:rFonts w:hint="eastAsia" w:ascii="仿宋_GB2312" w:hAnsi="仿宋_GB2312" w:eastAsia="仿宋_GB2312" w:cs="仿宋_GB2312"/>
          <w:sz w:val="32"/>
          <w:szCs w:val="32"/>
        </w:rPr>
        <w:t>5.3 建园与栽植管理技术</w:t>
      </w:r>
      <w:bookmarkEnd w:id="19"/>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园地规划、整地、树形养成、采收等栽植管理技术因桑树类型而异。普通叶用桑品种按DB61/T 388.3规定执行，多倍体叶用桑品种按DB6124/T 28规定执行，果桑或果叶兼用型桑品种按DB61/T 1404规定执行。</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施肥肥料应符合NY/T 394规定。</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桑叶中重金属等污染物限量应符合GB 2762规定。</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0" w:name="_Toc25754"/>
      <w:r>
        <w:rPr>
          <w:rFonts w:hint="eastAsia" w:ascii="仿宋_GB2312" w:hAnsi="仿宋_GB2312" w:eastAsia="仿宋_GB2312" w:cs="仿宋_GB2312"/>
          <w:sz w:val="32"/>
          <w:szCs w:val="32"/>
        </w:rPr>
        <w:t>5.4 病虫害防控</w:t>
      </w:r>
      <w:bookmarkEnd w:id="20"/>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病虫害防控应按照GB/T 8321、NY/T 393和NY/T 1027规定执行。</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1" w:name="_Toc8712"/>
      <w:r>
        <w:rPr>
          <w:rFonts w:hint="eastAsia" w:ascii="仿宋_GB2312" w:hAnsi="仿宋_GB2312" w:eastAsia="仿宋_GB2312" w:cs="仿宋_GB2312"/>
          <w:sz w:val="32"/>
          <w:szCs w:val="32"/>
        </w:rPr>
        <w:t>6硒含量检测</w:t>
      </w:r>
      <w:bookmarkEnd w:id="21"/>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2" w:name="_Toc15808"/>
      <w:r>
        <w:rPr>
          <w:rFonts w:hint="eastAsia" w:ascii="仿宋_GB2312" w:hAnsi="仿宋_GB2312" w:eastAsia="仿宋_GB2312" w:cs="仿宋_GB2312"/>
          <w:sz w:val="32"/>
          <w:szCs w:val="32"/>
        </w:rPr>
        <w:t>6.1 检测方法</w:t>
      </w:r>
      <w:bookmarkEnd w:id="22"/>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桑园土壤硒含量检测按NY/T 1104规定执行。</w:t>
      </w:r>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桑叶中硒含量检测按GB 5009.93规定执行。</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3" w:name="_Toc18307"/>
      <w:r>
        <w:rPr>
          <w:rFonts w:hint="eastAsia" w:ascii="仿宋_GB2312" w:hAnsi="仿宋_GB2312" w:eastAsia="仿宋_GB2312" w:cs="仿宋_GB2312"/>
          <w:sz w:val="32"/>
          <w:szCs w:val="32"/>
        </w:rPr>
        <w:t>6.2 检验批次</w:t>
      </w:r>
      <w:bookmarkEnd w:id="23"/>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同种类、同产地、同收获年度季节、同储存单元和同运输单元的桑叶。</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4" w:name="_Toc18600"/>
      <w:r>
        <w:rPr>
          <w:rFonts w:hint="eastAsia" w:ascii="仿宋_GB2312" w:hAnsi="仿宋_GB2312" w:eastAsia="仿宋_GB2312" w:cs="仿宋_GB2312"/>
          <w:sz w:val="32"/>
          <w:szCs w:val="32"/>
        </w:rPr>
        <w:t>6.3 判定规则</w:t>
      </w:r>
      <w:bookmarkEnd w:id="24"/>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按DB61/T 556-2018有关条款判定。富硒及含硒桑叶食品的硒含量指标应符合表1要求。</w:t>
      </w:r>
    </w:p>
    <w:p>
      <w:pPr>
        <w:jc w:val="center"/>
        <w:rPr>
          <w:rFonts w:hint="eastAsia" w:ascii="仿宋_GB2312" w:hAnsi="仿宋_GB2312" w:eastAsia="仿宋_GB2312" w:cs="仿宋_GB2312"/>
        </w:rPr>
      </w:pPr>
      <w:r>
        <w:rPr>
          <w:rFonts w:hint="eastAsia" w:ascii="仿宋_GB2312" w:hAnsi="仿宋_GB2312" w:eastAsia="仿宋_GB2312" w:cs="仿宋_GB2312"/>
        </w:rPr>
        <w:t>表1富硒及含硒桑叶食品的硒含量指标</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2"/>
        <w:gridCol w:w="3219"/>
        <w:gridCol w:w="3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9" w:hRule="atLeast"/>
        </w:trPr>
        <w:tc>
          <w:tcPr>
            <w:tcW w:w="2122"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项目</w:t>
            </w:r>
          </w:p>
        </w:tc>
        <w:tc>
          <w:tcPr>
            <w:tcW w:w="3219"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富硒指标</w:t>
            </w:r>
          </w:p>
          <w:p>
            <w:pPr>
              <w:jc w:val="center"/>
              <w:rPr>
                <w:rFonts w:hint="eastAsia" w:ascii="仿宋_GB2312" w:hAnsi="仿宋_GB2312" w:eastAsia="仿宋_GB2312" w:cs="仿宋_GB2312"/>
              </w:rPr>
            </w:pPr>
            <w:r>
              <w:rPr>
                <w:rFonts w:hint="eastAsia" w:ascii="仿宋_GB2312" w:hAnsi="仿宋_GB2312" w:eastAsia="仿宋_GB2312" w:cs="仿宋_GB2312"/>
              </w:rPr>
              <w:t>（以Se计，mg/kg或L）</w:t>
            </w:r>
          </w:p>
        </w:tc>
        <w:tc>
          <w:tcPr>
            <w:tcW w:w="3145" w:type="dxa"/>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含硒指标</w:t>
            </w:r>
          </w:p>
          <w:p>
            <w:pPr>
              <w:jc w:val="center"/>
              <w:rPr>
                <w:rFonts w:hint="eastAsia" w:ascii="仿宋_GB2312" w:hAnsi="仿宋_GB2312" w:eastAsia="仿宋_GB2312" w:cs="仿宋_GB2312"/>
              </w:rPr>
            </w:pPr>
            <w:r>
              <w:rPr>
                <w:rFonts w:hint="eastAsia" w:ascii="仿宋_GB2312" w:hAnsi="仿宋_GB2312" w:eastAsia="仿宋_GB2312" w:cs="仿宋_GB2312"/>
              </w:rPr>
              <w:t>（以Se计，mg/kg或L）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2122"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桑叶茶及相关制品</w:t>
            </w:r>
          </w:p>
        </w:tc>
        <w:tc>
          <w:tcPr>
            <w:tcW w:w="321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≥0.15</w:t>
            </w:r>
          </w:p>
        </w:tc>
        <w:tc>
          <w:tcPr>
            <w:tcW w:w="3145"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0.075～0.14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2122"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桑叶粉及相关制品</w:t>
            </w:r>
          </w:p>
        </w:tc>
        <w:tc>
          <w:tcPr>
            <w:tcW w:w="321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≥0.15</w:t>
            </w:r>
          </w:p>
        </w:tc>
        <w:tc>
          <w:tcPr>
            <w:tcW w:w="3145"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0.075～0.14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7" w:hRule="atLeast"/>
        </w:trPr>
        <w:tc>
          <w:tcPr>
            <w:tcW w:w="2122"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桑叶菜（新鲜）</w:t>
            </w:r>
          </w:p>
        </w:tc>
        <w:tc>
          <w:tcPr>
            <w:tcW w:w="3219"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≥0.02</w:t>
            </w:r>
          </w:p>
        </w:tc>
        <w:tc>
          <w:tcPr>
            <w:tcW w:w="3145" w:type="dxa"/>
            <w:noWrap w:val="0"/>
            <w:vAlign w:val="top"/>
          </w:tcPr>
          <w:p>
            <w:pPr>
              <w:jc w:val="center"/>
              <w:rPr>
                <w:rFonts w:hint="eastAsia" w:ascii="仿宋_GB2312" w:hAnsi="仿宋_GB2312" w:eastAsia="仿宋_GB2312" w:cs="仿宋_GB2312"/>
              </w:rPr>
            </w:pPr>
            <w:r>
              <w:rPr>
                <w:rFonts w:hint="eastAsia" w:ascii="仿宋_GB2312" w:hAnsi="仿宋_GB2312" w:eastAsia="仿宋_GB2312" w:cs="仿宋_GB2312"/>
              </w:rPr>
              <w:t>0.010～0.015</w:t>
            </w:r>
          </w:p>
        </w:tc>
      </w:tr>
    </w:tbl>
    <w:p>
      <w:pPr>
        <w:pStyle w:val="2"/>
        <w:spacing w:before="156" w:after="156"/>
        <w:rPr>
          <w:rFonts w:hint="eastAsia" w:ascii="仿宋_GB2312" w:hAnsi="仿宋_GB2312" w:eastAsia="仿宋_GB2312" w:cs="仿宋_GB2312"/>
        </w:rPr>
      </w:pPr>
      <w:bookmarkStart w:id="25" w:name="_Toc2656"/>
      <w:r>
        <w:rPr>
          <w:rFonts w:hint="eastAsia" w:ascii="仿宋_GB2312" w:hAnsi="仿宋_GB2312" w:eastAsia="仿宋_GB2312" w:cs="仿宋_GB2312"/>
        </w:rPr>
        <w:t>7标签标识</w:t>
      </w:r>
      <w:bookmarkEnd w:id="25"/>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应在包装物上或随行文件中注明产品的名称、执行标准号、原料来源、包装规格、生产日期和生产单位等信息。</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6" w:name="_Toc21617"/>
      <w:r>
        <w:rPr>
          <w:rFonts w:hint="eastAsia" w:ascii="仿宋_GB2312" w:hAnsi="仿宋_GB2312" w:eastAsia="仿宋_GB2312" w:cs="仿宋_GB2312"/>
          <w:sz w:val="32"/>
          <w:szCs w:val="32"/>
        </w:rPr>
        <w:t>8  包装、储存和运输</w:t>
      </w:r>
      <w:bookmarkEnd w:id="26"/>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7" w:name="_Toc27780"/>
      <w:r>
        <w:rPr>
          <w:rFonts w:hint="eastAsia" w:ascii="仿宋_GB2312" w:hAnsi="仿宋_GB2312" w:eastAsia="仿宋_GB2312" w:cs="仿宋_GB2312"/>
          <w:sz w:val="32"/>
          <w:szCs w:val="32"/>
        </w:rPr>
        <w:t>8.1 包装</w:t>
      </w:r>
      <w:bookmarkEnd w:id="27"/>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采用食品级包装材料，保持清洁、牢固、无破损，封口严密、结实，不应给产品带来污染和异常气味。</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8" w:name="_Toc5541"/>
      <w:r>
        <w:rPr>
          <w:rFonts w:hint="eastAsia" w:ascii="仿宋_GB2312" w:hAnsi="仿宋_GB2312" w:eastAsia="仿宋_GB2312" w:cs="仿宋_GB2312"/>
          <w:sz w:val="32"/>
          <w:szCs w:val="32"/>
        </w:rPr>
        <w:t>8.2 储存</w:t>
      </w:r>
      <w:bookmarkEnd w:id="28"/>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应储存在清洁、干燥、避光、防雨、防潮、防虫、防鼠、无异味的仓库内，不应与有毒有害物质或水份较高的物质混存。</w:t>
      </w:r>
    </w:p>
    <w:p>
      <w:pPr>
        <w:pStyle w:val="3"/>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29" w:name="_Toc2467"/>
      <w:r>
        <w:rPr>
          <w:rFonts w:hint="eastAsia" w:ascii="仿宋_GB2312" w:hAnsi="仿宋_GB2312" w:eastAsia="仿宋_GB2312" w:cs="仿宋_GB2312"/>
          <w:sz w:val="32"/>
          <w:szCs w:val="32"/>
        </w:rPr>
        <w:t>8.3 运输</w:t>
      </w:r>
      <w:bookmarkEnd w:id="29"/>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应使用符合卫生要求的运输工具和容器运送，运输过程中应注意防止雨淋和污染。</w:t>
      </w:r>
    </w:p>
    <w:p>
      <w:pPr>
        <w:pStyle w:val="2"/>
        <w:keepLines w:val="0"/>
        <w:pageBreakBefore w:val="0"/>
        <w:widowControl w:val="0"/>
        <w:kinsoku/>
        <w:wordWrap/>
        <w:overflowPunct/>
        <w:topLinePunct w:val="0"/>
        <w:autoSpaceDE/>
        <w:autoSpaceDN/>
        <w:bidi w:val="0"/>
        <w:adjustRightInd/>
        <w:spacing w:beforeLines="0" w:afterLines="0" w:line="560" w:lineRule="exact"/>
        <w:ind w:left="0" w:leftChars="0" w:firstLine="0" w:firstLineChars="0"/>
        <w:textAlignment w:val="auto"/>
        <w:rPr>
          <w:rFonts w:hint="eastAsia" w:ascii="仿宋_GB2312" w:hAnsi="仿宋_GB2312" w:eastAsia="仿宋_GB2312" w:cs="仿宋_GB2312"/>
          <w:sz w:val="32"/>
          <w:szCs w:val="32"/>
        </w:rPr>
      </w:pPr>
      <w:bookmarkStart w:id="30" w:name="_Toc21812"/>
      <w:r>
        <w:rPr>
          <w:rFonts w:hint="eastAsia" w:ascii="仿宋_GB2312" w:hAnsi="仿宋_GB2312" w:eastAsia="仿宋_GB2312" w:cs="仿宋_GB2312"/>
          <w:sz w:val="32"/>
          <w:szCs w:val="32"/>
        </w:rPr>
        <w:t>9 建立生产档案</w:t>
      </w:r>
      <w:bookmarkEnd w:id="30"/>
    </w:p>
    <w:p>
      <w:pPr>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保存产品检验报告单。富硒桑叶生产全过程应详细记录产地环境条件、生产技术、病虫草害的发生和防治、采收等情况，并保存3年以上。</w:t>
      </w:r>
    </w:p>
    <w:bookmarkEnd w:id="8"/>
    <w:p>
      <w:pPr>
        <w:rPr>
          <w:rFonts w:hint="eastAsia" w:ascii="仿宋_GB2312" w:hAnsi="仿宋_GB2312" w:eastAsia="仿宋_GB2312" w:cs="仿宋_GB2312"/>
        </w:rPr>
      </w:pPr>
    </w:p>
    <w:p/>
    <w:p/>
    <w:p>
      <w:pPr>
        <w:jc w:val="center"/>
      </w:pPr>
      <w:r>
        <mc:AlternateContent>
          <mc:Choice Requires="wps">
            <w:drawing>
              <wp:anchor distT="0" distB="0" distL="114300" distR="114300" simplePos="0" relativeHeight="251662336" behindDoc="0" locked="0" layoutInCell="1" allowOverlap="1">
                <wp:simplePos x="0" y="0"/>
                <wp:positionH relativeFrom="column">
                  <wp:posOffset>2027555</wp:posOffset>
                </wp:positionH>
                <wp:positionV relativeFrom="paragraph">
                  <wp:posOffset>183515</wp:posOffset>
                </wp:positionV>
                <wp:extent cx="1619250" cy="0"/>
                <wp:effectExtent l="0" t="0" r="0" b="0"/>
                <wp:wrapNone/>
                <wp:docPr id="1" name="直接连接符 1"/>
                <wp:cNvGraphicFramePr/>
                <a:graphic xmlns:a="http://schemas.openxmlformats.org/drawingml/2006/main">
                  <a:graphicData uri="http://schemas.microsoft.com/office/word/2010/wordprocessingShape">
                    <wps:wsp>
                      <wps:cNvCnPr/>
                      <wps:spPr>
                        <a:xfrm>
                          <a:off x="1516380" y="3908425"/>
                          <a:ext cx="161925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59.65pt;margin-top:14.45pt;height:0pt;width:127.5pt;z-index:251662336;mso-width-relative:page;mso-height-relative:page;" stroked="t" coordsize="21600,21600" o:gfxdata="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ec6U/WAAAACQEAAA8AAAAAAAAAAQAgAAAAIgAAAGRycy9kb3ducmV2LnhtbFBLAQIU&#10;ABQAAAAIAIdO4kBDxbp99QEAAMsDAAAOAAAAAAAAAAEAIAAAACUBAABkcnMvZTJvRG9jLnhtbFBL&#10;BQYAAAAABgAGAFkBAACMBQAAAAA=&#10;">
                <v:path arrowok="t"/>
                <v:fill focussize="0,0"/>
                <v:stroke weight="0.5pt" joinstyle="miter"/>
                <v:imagedata o:title=""/>
                <o:lock v:ext="edit"/>
              </v:line>
            </w:pict>
          </mc:Fallback>
        </mc:AlternateContent>
      </w: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pPr>
        <w:spacing w:beforeLines="50" w:afterLines="50" w:line="440" w:lineRule="exact"/>
        <w:jc w:val="center"/>
        <w:rPr>
          <w:rFonts w:hint="eastAsia" w:ascii="仿宋" w:hAnsi="仿宋" w:eastAsia="仿宋"/>
          <w:b/>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604D68-5923-41F2-AD37-BA9368A097E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8137DBC3-6A15-4AF3-A4D5-893220049E79}"/>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embedRegular r:id="rId3" w:fontKey="{813C38A3-1D7B-4B42-AD7A-E42C1415BE62}"/>
  </w:font>
  <w:font w:name="华康简标题宋">
    <w:altName w:val="宋体"/>
    <w:panose1 w:val="00000000000000000000"/>
    <w:charset w:val="86"/>
    <w:family w:val="modern"/>
    <w:pitch w:val="default"/>
    <w:sig w:usb0="00000000" w:usb1="00000000" w:usb2="00000010" w:usb3="00000000" w:csb0="00040000" w:csb1="00000000"/>
    <w:embedRegular r:id="rId4" w:fontKey="{F3A7C38F-01C6-4328-A775-8E7A76638755}"/>
  </w:font>
  <w:font w:name="方正小标宋简体">
    <w:panose1 w:val="02000000000000000000"/>
    <w:charset w:val="86"/>
    <w:family w:val="script"/>
    <w:pitch w:val="default"/>
    <w:sig w:usb0="00000001" w:usb1="08000000" w:usb2="00000000" w:usb3="00000000" w:csb0="00040000" w:csb1="00000000"/>
    <w:embedRegular r:id="rId5" w:fontKey="{8FD67AF3-770C-49C3-8461-1EA69F7A01FF}"/>
  </w:font>
  <w:font w:name="仿宋_GB2312">
    <w:panose1 w:val="02010609030101010101"/>
    <w:charset w:val="86"/>
    <w:family w:val="modern"/>
    <w:pitch w:val="default"/>
    <w:sig w:usb0="00000001" w:usb1="080E0000" w:usb2="00000000" w:usb3="00000000" w:csb0="00040000" w:csb1="00000000"/>
    <w:embedRegular r:id="rId6" w:fontKey="{D68EFBDE-C153-4E55-A2BB-D67D2369DA4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7448"/>
        <w:tab w:val="clear" w:pos="4153"/>
      </w:tabs>
      <w:ind w:right="360" w:firstLine="360"/>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ind w:firstLine="360"/>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path/>
              <v:fill on="f" focussize="0,0"/>
              <v:stroke on="f" weight="0.5pt" joinstyle="miter"/>
              <v:imagedata o:title=""/>
              <o:lock v:ext="edit"/>
              <v:textbox inset="0mm,0mm,0mm,0mm" style="mso-fit-shape-to-text:t;">
                <w:txbxContent>
                  <w:p>
                    <w:pPr>
                      <w:pStyle w:val="4"/>
                      <w:ind w:firstLine="36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720" w:firstLineChars="1550"/>
      <w:jc w:val="right"/>
      <w:rPr>
        <w:rFonts w:eastAsia="黑体"/>
        <w:sz w:val="24"/>
        <w:szCs w:val="24"/>
      </w:rPr>
    </w:pPr>
    <w:r>
      <w:rPr>
        <w:rFonts w:hint="eastAsia" w:ascii="黑体" w:eastAsia="黑体"/>
        <w:color w:val="000000"/>
        <w:sz w:val="24"/>
        <w:szCs w:val="24"/>
      </w:rPr>
      <w:t>DB6109/T×××-202</w:t>
    </w:r>
    <w:r>
      <w:rPr>
        <w:rFonts w:ascii="黑体" w:eastAsia="黑体"/>
        <w:color w:val="000000"/>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2NzFkODFmNDMyNDgxNjQ3MThlZjZkZjFiNzRkNTIifQ=="/>
  </w:docVars>
  <w:rsids>
    <w:rsidRoot w:val="7C281499"/>
    <w:rsid w:val="7C281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snapToGrid w:val="0"/>
      <w:spacing w:beforeLines="50" w:afterLines="50" w:line="360" w:lineRule="auto"/>
      <w:ind w:firstLine="420" w:firstLineChars="200"/>
      <w:jc w:val="left"/>
      <w:outlineLvl w:val="0"/>
    </w:pPr>
    <w:rPr>
      <w:rFonts w:ascii="黑体" w:hAnsi="黑体" w:eastAsia="黑体" w:cs="Arial Unicode MS"/>
      <w:szCs w:val="20"/>
    </w:rPr>
  </w:style>
  <w:style w:type="paragraph" w:styleId="3">
    <w:name w:val="heading 2"/>
    <w:basedOn w:val="1"/>
    <w:next w:val="1"/>
    <w:qFormat/>
    <w:uiPriority w:val="0"/>
    <w:pPr>
      <w:keepNext/>
      <w:spacing w:beforeLines="50" w:afterLines="50"/>
      <w:ind w:firstLine="420" w:firstLineChars="200"/>
      <w:jc w:val="left"/>
      <w:outlineLvl w:val="1"/>
    </w:pPr>
    <w:rPr>
      <w:rFonts w:ascii="Times New Roman" w:hAnsi="Times New Roman" w:eastAsia="黑体"/>
      <w:bCs/>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仿宋"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2023-03-07T09:00:00Z</dcterms:created>
  <dc:creator>蹄蹄</dc:creator>
  <cp:lastModifiedBy>蹄蹄</cp:lastModifiedBy>
  <dcterms:modified xsi:type="dcterms:W3CDTF">2023-03-07T09:03:46Z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A657AC5087AB45A7A09B74979A75A649</vt:lpwstr>
  </property>
</Properties>
</file>