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4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beforeLines="50" w:afterLines="50" w:line="440" w:lineRule="exact"/>
        <w:jc w:val="left"/>
        <w:rPr>
          <w:rFonts w:hint="default" w:ascii="黑体" w:hAnsi="黑体" w:eastAsia="黑体" w:cs="黑体"/>
          <w:sz w:val="32"/>
          <w:szCs w:val="32"/>
          <w:lang w:val="en-US" w:eastAsia="zh-CN"/>
        </w:rPr>
      </w:pPr>
      <w:bookmarkStart w:id="0" w:name="_GoBack"/>
      <w:bookmarkEnd w:id="0"/>
    </w:p>
    <w:p>
      <w:pPr>
        <w:spacing w:beforeLines="50" w:afterLines="50" w:line="44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《富硒桑叶生产技术规程》编制说明</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一、工作简况</w:t>
      </w:r>
    </w:p>
    <w:p>
      <w:pPr>
        <w:keepNext w:val="0"/>
        <w:keepLines w:val="0"/>
        <w:pageBreakBefore w:val="0"/>
        <w:widowControl w:val="0"/>
        <w:kinsoku/>
        <w:wordWrap/>
        <w:overflowPunct/>
        <w:topLinePunct w:val="0"/>
        <w:bidi w:val="0"/>
        <w:snapToGrid/>
        <w:spacing w:line="560" w:lineRule="exact"/>
        <w:ind w:firstLine="643" w:firstLineChars="200"/>
        <w:jc w:val="left"/>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任务来源</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根据</w:t>
      </w:r>
      <w:r>
        <w:rPr>
          <w:rFonts w:hint="eastAsia" w:ascii="仿宋_GB2312" w:hAnsi="仿宋_GB2312" w:eastAsia="仿宋_GB2312" w:cs="仿宋_GB2312"/>
          <w:sz w:val="32"/>
          <w:szCs w:val="32"/>
        </w:rPr>
        <w:t>安康市市场监督管理局安市监函〔2022〕633号《关于下达2022 年安康市地方标准制修订项目计划的通知》</w:t>
      </w:r>
      <w:r>
        <w:rPr>
          <w:rFonts w:hint="eastAsia" w:ascii="仿宋_GB2312" w:hAnsi="仿宋_GB2312" w:eastAsia="仿宋_GB2312" w:cs="仿宋_GB2312"/>
          <w:bCs/>
          <w:sz w:val="32"/>
          <w:szCs w:val="32"/>
        </w:rPr>
        <w:t>要求，</w:t>
      </w:r>
      <w:r>
        <w:rPr>
          <w:rFonts w:hint="eastAsia" w:ascii="仿宋_GB2312" w:hAnsi="仿宋_GB2312" w:eastAsia="仿宋_GB2312" w:cs="仿宋_GB2312"/>
          <w:sz w:val="32"/>
          <w:szCs w:val="32"/>
        </w:rPr>
        <w:t>西北农林科技大学蚕桑丝绸研究所和石泉县蚕桑发展服务中心</w:t>
      </w:r>
      <w:r>
        <w:rPr>
          <w:rFonts w:hint="eastAsia" w:ascii="仿宋_GB2312" w:hAnsi="仿宋_GB2312" w:eastAsia="仿宋_GB2312" w:cs="仿宋_GB2312"/>
          <w:bCs/>
          <w:sz w:val="32"/>
          <w:szCs w:val="32"/>
        </w:rPr>
        <w:t>负责</w:t>
      </w:r>
      <w:r>
        <w:rPr>
          <w:rFonts w:hint="eastAsia" w:ascii="仿宋_GB2312" w:hAnsi="仿宋_GB2312" w:eastAsia="仿宋_GB2312" w:cs="仿宋_GB2312"/>
          <w:sz w:val="32"/>
          <w:szCs w:val="32"/>
        </w:rPr>
        <w:t>《富硒桑叶生产技术规程》（项目计划号：</w:t>
      </w:r>
      <w:r>
        <w:rPr>
          <w:rFonts w:hint="eastAsia" w:ascii="仿宋_GB2312" w:hAnsi="仿宋_GB2312" w:eastAsia="仿宋_GB2312" w:cs="仿宋_GB2312"/>
          <w:bCs/>
          <w:sz w:val="32"/>
          <w:szCs w:val="32"/>
        </w:rPr>
        <w:t>AK2-2022</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的起草工作。</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西北农林科技大学蚕桑丝绸研究所、石泉县蚕桑发展服务中心和</w:t>
      </w:r>
      <w:r>
        <w:rPr>
          <w:rFonts w:hint="eastAsia" w:ascii="仿宋_GB2312" w:hAnsi="仿宋_GB2312" w:eastAsia="仿宋_GB2312" w:cs="仿宋_GB2312"/>
          <w:bCs/>
          <w:sz w:val="32"/>
          <w:szCs w:val="32"/>
        </w:rPr>
        <w:t>安康市富硒产品研发中心在多年桑树硒富集规律研究的基础上，根据安康市区域自然条件特点，经反复试验、总结和不断完善，形成了本技术规程文本。</w:t>
      </w:r>
    </w:p>
    <w:p>
      <w:pPr>
        <w:keepNext w:val="0"/>
        <w:keepLines w:val="0"/>
        <w:pageBreakBefore w:val="0"/>
        <w:widowControl w:val="0"/>
        <w:kinsoku/>
        <w:wordWrap/>
        <w:overflowPunct/>
        <w:topLinePunct w:val="0"/>
        <w:bidi w:val="0"/>
        <w:snapToGrid/>
        <w:spacing w:line="560" w:lineRule="exact"/>
        <w:ind w:firstLine="643" w:firstLineChars="200"/>
        <w:jc w:val="left"/>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主要工作过程</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项目承担单位自上世纪九十年代就开始蚕桑品种选育、栽培技术、加工利用等方面的试验研究，是国内研究蚕桑资源开发利用最早的机构之一，已建立了石泉县、周至县、临潼区、千阳县、榆阳区等多个蚕桑产业示范基地，逐步形成一整套蚕桑资源利用的研究方法和成果，并与多个蚕桑企业形成合作关系。近年来，安康市政府充分发挥富硒资源禀赋和技术专利优势，大力发展特色富硒产业，富硒产业已经成为支撑全市经济发展、带动群众增收、扩大安康影响力的支柱产业。项目组在前期的研究工作基础上，以《安康市富硒资源普查报告》为依据，精心设计试验方案，综合考虑坡地与川道不同地形、极低硒至极高硒不同土壤，在西北农林科技大学、石泉县和平利县等地开展试验、采样、检测及分析等工作，对桑树品种选择、立地条件、栽植密度、剪伐模式、树型养成、水肥管理、病虫害防治等不断地进行创新研究与技术集成，并结合实测桑园土壤硒含量和</w:t>
      </w:r>
      <w:r>
        <w:rPr>
          <w:rFonts w:hint="eastAsia" w:ascii="仿宋_GB2312" w:hAnsi="仿宋_GB2312" w:eastAsia="仿宋_GB2312" w:cs="仿宋_GB2312"/>
          <w:sz w:val="32"/>
          <w:szCs w:val="32"/>
        </w:rPr>
        <w:t>DB61/T 556-2018 《富硒含硒食品与相关产品硒含量标准》，反复测算、</w:t>
      </w:r>
      <w:r>
        <w:rPr>
          <w:rFonts w:hint="eastAsia" w:ascii="仿宋_GB2312" w:hAnsi="仿宋_GB2312" w:eastAsia="仿宋_GB2312" w:cs="仿宋_GB2312"/>
          <w:bCs/>
          <w:sz w:val="32"/>
          <w:szCs w:val="32"/>
        </w:rPr>
        <w:t>优化各项技术指标。</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2022年地方标准项目下达后，西北农林科技大学、石泉县蚕桑发展服务中心和安康市富硒产品研发中心联合成立了《富硒桑叶生产技术规程》标准编写小组。在查阅相关文献和标准的基础上，广泛听取桑树栽培专家、农业管理部门和生产基地等的意见，按照标准编写规范形成了标准初稿。编制组整合了有关专家提出的意见和建议，进行多次讨论和修改完善，形成了标准报审稿。</w:t>
      </w:r>
    </w:p>
    <w:p>
      <w:pPr>
        <w:keepNext w:val="0"/>
        <w:keepLines w:val="0"/>
        <w:pageBreakBefore w:val="0"/>
        <w:widowControl w:val="0"/>
        <w:kinsoku/>
        <w:wordWrap/>
        <w:overflowPunct/>
        <w:topLinePunct w:val="0"/>
        <w:bidi w:val="0"/>
        <w:snapToGrid/>
        <w:spacing w:line="560" w:lineRule="exact"/>
        <w:ind w:firstLine="643"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征集</w:t>
      </w:r>
      <w:r>
        <w:rPr>
          <w:rFonts w:hint="eastAsia" w:ascii="仿宋_GB2312" w:hAnsi="仿宋_GB2312" w:eastAsia="仿宋_GB2312" w:cs="仿宋_GB2312"/>
          <w:b/>
          <w:bCs/>
          <w:sz w:val="32"/>
          <w:szCs w:val="32"/>
        </w:rPr>
        <w:t>行业专家意见与建议情况</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本技术规程向行业领域4家工作单位共5名专家征集反馈意见，专家基本情况如下：</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985"/>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noWrap w:val="0"/>
            <w:vAlign w:val="top"/>
          </w:tcPr>
          <w:p>
            <w:pPr>
              <w:spacing w:line="480" w:lineRule="exact"/>
              <w:jc w:val="center"/>
              <w:rPr>
                <w:rFonts w:ascii="仿宋" w:hAnsi="仿宋" w:eastAsia="仿宋"/>
                <w:b/>
                <w:kern w:val="0"/>
                <w:sz w:val="32"/>
                <w:szCs w:val="32"/>
              </w:rPr>
            </w:pPr>
            <w:r>
              <w:rPr>
                <w:rFonts w:hint="eastAsia" w:ascii="仿宋" w:hAnsi="仿宋" w:eastAsia="仿宋"/>
                <w:b/>
                <w:kern w:val="0"/>
                <w:sz w:val="32"/>
                <w:szCs w:val="32"/>
              </w:rPr>
              <w:t>姓名</w:t>
            </w:r>
          </w:p>
        </w:tc>
        <w:tc>
          <w:tcPr>
            <w:tcW w:w="1985" w:type="dxa"/>
            <w:noWrap w:val="0"/>
            <w:vAlign w:val="top"/>
          </w:tcPr>
          <w:p>
            <w:pPr>
              <w:spacing w:line="480" w:lineRule="exact"/>
              <w:jc w:val="center"/>
              <w:rPr>
                <w:rFonts w:ascii="仿宋" w:hAnsi="仿宋" w:eastAsia="仿宋"/>
                <w:b/>
                <w:kern w:val="0"/>
                <w:sz w:val="32"/>
                <w:szCs w:val="32"/>
              </w:rPr>
            </w:pPr>
            <w:r>
              <w:rPr>
                <w:rFonts w:hint="eastAsia" w:ascii="仿宋" w:hAnsi="仿宋" w:eastAsia="仿宋"/>
                <w:b/>
                <w:kern w:val="0"/>
                <w:sz w:val="32"/>
                <w:szCs w:val="32"/>
              </w:rPr>
              <w:t>职称</w:t>
            </w:r>
          </w:p>
        </w:tc>
        <w:tc>
          <w:tcPr>
            <w:tcW w:w="4819" w:type="dxa"/>
            <w:noWrap w:val="0"/>
            <w:vAlign w:val="top"/>
          </w:tcPr>
          <w:p>
            <w:pPr>
              <w:spacing w:line="480" w:lineRule="exact"/>
              <w:jc w:val="center"/>
              <w:rPr>
                <w:rFonts w:ascii="仿宋" w:hAnsi="仿宋" w:eastAsia="仿宋"/>
                <w:b/>
                <w:kern w:val="0"/>
                <w:sz w:val="32"/>
                <w:szCs w:val="32"/>
              </w:rPr>
            </w:pPr>
            <w:r>
              <w:rPr>
                <w:rFonts w:hint="eastAsia" w:ascii="仿宋" w:hAnsi="仿宋" w:eastAsia="仿宋"/>
                <w:b/>
                <w:kern w:val="0"/>
                <w:sz w:val="32"/>
                <w:szCs w:val="32"/>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noWrap w:val="0"/>
            <w:vAlign w:val="top"/>
          </w:tcPr>
          <w:p>
            <w:pPr>
              <w:spacing w:line="480" w:lineRule="exact"/>
              <w:jc w:val="center"/>
              <w:rPr>
                <w:rFonts w:ascii="仿宋" w:hAnsi="仿宋" w:eastAsia="仿宋"/>
                <w:bCs/>
                <w:kern w:val="0"/>
                <w:sz w:val="32"/>
                <w:szCs w:val="32"/>
              </w:rPr>
            </w:pPr>
            <w:r>
              <w:rPr>
                <w:rFonts w:hint="eastAsia" w:ascii="仿宋" w:hAnsi="仿宋" w:eastAsia="仿宋"/>
                <w:bCs/>
                <w:kern w:val="0"/>
                <w:sz w:val="32"/>
                <w:szCs w:val="32"/>
              </w:rPr>
              <w:t>张伟兵</w:t>
            </w:r>
          </w:p>
        </w:tc>
        <w:tc>
          <w:tcPr>
            <w:tcW w:w="1985" w:type="dxa"/>
            <w:noWrap w:val="0"/>
            <w:vAlign w:val="top"/>
          </w:tcPr>
          <w:p>
            <w:pPr>
              <w:spacing w:line="480" w:lineRule="exact"/>
              <w:jc w:val="center"/>
              <w:rPr>
                <w:rFonts w:ascii="仿宋" w:hAnsi="仿宋" w:eastAsia="仿宋"/>
                <w:bCs/>
                <w:kern w:val="0"/>
                <w:sz w:val="32"/>
                <w:szCs w:val="32"/>
              </w:rPr>
            </w:pPr>
            <w:r>
              <w:rPr>
                <w:rFonts w:hint="eastAsia" w:ascii="仿宋" w:hAnsi="仿宋" w:eastAsia="仿宋"/>
                <w:bCs/>
                <w:kern w:val="0"/>
                <w:sz w:val="32"/>
                <w:szCs w:val="32"/>
              </w:rPr>
              <w:t>正高级农艺师</w:t>
            </w:r>
          </w:p>
        </w:tc>
        <w:tc>
          <w:tcPr>
            <w:tcW w:w="4819" w:type="dxa"/>
            <w:noWrap w:val="0"/>
            <w:vAlign w:val="top"/>
          </w:tcPr>
          <w:p>
            <w:pPr>
              <w:spacing w:line="480" w:lineRule="exact"/>
              <w:jc w:val="center"/>
              <w:rPr>
                <w:rFonts w:ascii="仿宋" w:hAnsi="仿宋" w:eastAsia="仿宋"/>
                <w:bCs/>
                <w:kern w:val="0"/>
                <w:sz w:val="32"/>
                <w:szCs w:val="32"/>
              </w:rPr>
            </w:pPr>
            <w:r>
              <w:rPr>
                <w:rFonts w:hint="eastAsia" w:ascii="仿宋" w:hAnsi="仿宋" w:eastAsia="仿宋"/>
                <w:bCs/>
                <w:kern w:val="0"/>
                <w:sz w:val="32"/>
                <w:szCs w:val="32"/>
              </w:rPr>
              <w:t>陕西省园艺技术工作站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noWrap w:val="0"/>
            <w:vAlign w:val="top"/>
          </w:tcPr>
          <w:p>
            <w:pPr>
              <w:spacing w:line="480" w:lineRule="exact"/>
              <w:jc w:val="center"/>
              <w:rPr>
                <w:rFonts w:ascii="仿宋" w:hAnsi="仿宋" w:eastAsia="仿宋"/>
                <w:bCs/>
                <w:kern w:val="0"/>
                <w:sz w:val="32"/>
                <w:szCs w:val="32"/>
              </w:rPr>
            </w:pPr>
            <w:r>
              <w:rPr>
                <w:rFonts w:hint="eastAsia" w:ascii="仿宋" w:hAnsi="仿宋" w:eastAsia="仿宋"/>
                <w:bCs/>
                <w:kern w:val="0"/>
                <w:sz w:val="32"/>
                <w:szCs w:val="32"/>
              </w:rPr>
              <w:t>陈正余</w:t>
            </w:r>
          </w:p>
        </w:tc>
        <w:tc>
          <w:tcPr>
            <w:tcW w:w="1985" w:type="dxa"/>
            <w:noWrap w:val="0"/>
            <w:vAlign w:val="top"/>
          </w:tcPr>
          <w:p>
            <w:pPr>
              <w:spacing w:line="480" w:lineRule="exact"/>
              <w:jc w:val="center"/>
              <w:rPr>
                <w:rFonts w:ascii="仿宋" w:hAnsi="仿宋" w:eastAsia="仿宋"/>
                <w:bCs/>
                <w:kern w:val="0"/>
                <w:sz w:val="32"/>
                <w:szCs w:val="32"/>
              </w:rPr>
            </w:pPr>
            <w:r>
              <w:rPr>
                <w:rFonts w:hint="eastAsia" w:ascii="仿宋" w:hAnsi="仿宋" w:eastAsia="仿宋"/>
                <w:bCs/>
                <w:kern w:val="0"/>
                <w:sz w:val="32"/>
                <w:szCs w:val="32"/>
              </w:rPr>
              <w:t>研究员</w:t>
            </w:r>
          </w:p>
        </w:tc>
        <w:tc>
          <w:tcPr>
            <w:tcW w:w="4819" w:type="dxa"/>
            <w:noWrap w:val="0"/>
            <w:vAlign w:val="top"/>
          </w:tcPr>
          <w:p>
            <w:pPr>
              <w:spacing w:line="480" w:lineRule="exact"/>
              <w:jc w:val="center"/>
              <w:rPr>
                <w:rFonts w:ascii="仿宋" w:hAnsi="仿宋" w:eastAsia="仿宋"/>
                <w:bCs/>
                <w:kern w:val="0"/>
                <w:sz w:val="32"/>
                <w:szCs w:val="32"/>
              </w:rPr>
            </w:pPr>
            <w:r>
              <w:rPr>
                <w:rFonts w:hint="eastAsia" w:ascii="仿宋" w:hAnsi="仿宋" w:eastAsia="仿宋"/>
                <w:bCs/>
                <w:kern w:val="0"/>
                <w:sz w:val="32"/>
                <w:szCs w:val="32"/>
              </w:rPr>
              <w:t>安康市蚕桑产业发展中心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noWrap w:val="0"/>
            <w:vAlign w:val="top"/>
          </w:tcPr>
          <w:p>
            <w:pPr>
              <w:spacing w:line="480" w:lineRule="exact"/>
              <w:jc w:val="center"/>
              <w:rPr>
                <w:rFonts w:ascii="仿宋" w:hAnsi="仿宋" w:eastAsia="仿宋"/>
                <w:bCs/>
                <w:kern w:val="0"/>
                <w:sz w:val="32"/>
                <w:szCs w:val="32"/>
              </w:rPr>
            </w:pPr>
            <w:r>
              <w:rPr>
                <w:rFonts w:hint="eastAsia" w:ascii="仿宋" w:hAnsi="仿宋" w:eastAsia="仿宋"/>
                <w:bCs/>
                <w:kern w:val="0"/>
                <w:sz w:val="32"/>
                <w:szCs w:val="32"/>
              </w:rPr>
              <w:t>彭云武</w:t>
            </w:r>
          </w:p>
        </w:tc>
        <w:tc>
          <w:tcPr>
            <w:tcW w:w="1985" w:type="dxa"/>
            <w:noWrap w:val="0"/>
            <w:vAlign w:val="top"/>
          </w:tcPr>
          <w:p>
            <w:pPr>
              <w:spacing w:line="480" w:lineRule="exact"/>
              <w:jc w:val="center"/>
              <w:rPr>
                <w:rFonts w:ascii="仿宋" w:hAnsi="仿宋" w:eastAsia="仿宋"/>
                <w:bCs/>
                <w:kern w:val="0"/>
                <w:sz w:val="32"/>
                <w:szCs w:val="32"/>
              </w:rPr>
            </w:pPr>
            <w:r>
              <w:rPr>
                <w:rFonts w:hint="eastAsia" w:ascii="仿宋" w:hAnsi="仿宋" w:eastAsia="仿宋"/>
                <w:bCs/>
                <w:kern w:val="0"/>
                <w:sz w:val="32"/>
                <w:szCs w:val="32"/>
              </w:rPr>
              <w:t>研究员</w:t>
            </w:r>
          </w:p>
        </w:tc>
        <w:tc>
          <w:tcPr>
            <w:tcW w:w="4819" w:type="dxa"/>
            <w:noWrap w:val="0"/>
            <w:vAlign w:val="top"/>
          </w:tcPr>
          <w:p>
            <w:pPr>
              <w:spacing w:line="480" w:lineRule="exact"/>
              <w:jc w:val="center"/>
              <w:rPr>
                <w:rFonts w:ascii="仿宋" w:hAnsi="仿宋" w:eastAsia="仿宋"/>
                <w:bCs/>
                <w:kern w:val="0"/>
                <w:sz w:val="32"/>
                <w:szCs w:val="32"/>
              </w:rPr>
            </w:pPr>
            <w:r>
              <w:rPr>
                <w:rFonts w:hint="eastAsia" w:ascii="仿宋" w:hAnsi="仿宋" w:eastAsia="仿宋"/>
                <w:bCs/>
                <w:kern w:val="0"/>
                <w:sz w:val="32"/>
                <w:szCs w:val="32"/>
              </w:rPr>
              <w:t>安康学院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noWrap w:val="0"/>
            <w:vAlign w:val="top"/>
          </w:tcPr>
          <w:p>
            <w:pPr>
              <w:spacing w:line="480" w:lineRule="exact"/>
              <w:jc w:val="center"/>
              <w:rPr>
                <w:rFonts w:ascii="仿宋" w:hAnsi="仿宋" w:eastAsia="仿宋"/>
                <w:bCs/>
                <w:kern w:val="0"/>
                <w:sz w:val="32"/>
                <w:szCs w:val="32"/>
              </w:rPr>
            </w:pPr>
            <w:r>
              <w:rPr>
                <w:rFonts w:hint="eastAsia" w:ascii="仿宋" w:hAnsi="仿宋" w:eastAsia="仿宋"/>
                <w:bCs/>
                <w:kern w:val="0"/>
                <w:sz w:val="32"/>
                <w:szCs w:val="32"/>
              </w:rPr>
              <w:t>贾亚洲</w:t>
            </w:r>
          </w:p>
        </w:tc>
        <w:tc>
          <w:tcPr>
            <w:tcW w:w="1985" w:type="dxa"/>
            <w:noWrap w:val="0"/>
            <w:vAlign w:val="top"/>
          </w:tcPr>
          <w:p>
            <w:pPr>
              <w:spacing w:line="480" w:lineRule="exact"/>
              <w:jc w:val="center"/>
              <w:rPr>
                <w:rFonts w:ascii="仿宋" w:hAnsi="仿宋" w:eastAsia="仿宋"/>
                <w:bCs/>
                <w:kern w:val="0"/>
                <w:sz w:val="32"/>
                <w:szCs w:val="32"/>
              </w:rPr>
            </w:pPr>
            <w:r>
              <w:rPr>
                <w:rFonts w:hint="eastAsia" w:ascii="仿宋" w:hAnsi="仿宋" w:eastAsia="仿宋"/>
                <w:bCs/>
                <w:kern w:val="0"/>
                <w:sz w:val="32"/>
                <w:szCs w:val="32"/>
              </w:rPr>
              <w:t>副编审</w:t>
            </w:r>
          </w:p>
        </w:tc>
        <w:tc>
          <w:tcPr>
            <w:tcW w:w="4819" w:type="dxa"/>
            <w:noWrap w:val="0"/>
            <w:vAlign w:val="top"/>
          </w:tcPr>
          <w:p>
            <w:pPr>
              <w:spacing w:line="480" w:lineRule="exact"/>
              <w:jc w:val="center"/>
              <w:rPr>
                <w:rFonts w:ascii="仿宋" w:hAnsi="仿宋" w:eastAsia="仿宋"/>
                <w:bCs/>
                <w:kern w:val="0"/>
                <w:sz w:val="32"/>
                <w:szCs w:val="32"/>
              </w:rPr>
            </w:pPr>
            <w:r>
              <w:rPr>
                <w:rFonts w:hint="eastAsia" w:ascii="仿宋" w:hAnsi="仿宋" w:eastAsia="仿宋"/>
                <w:bCs/>
                <w:kern w:val="0"/>
                <w:sz w:val="32"/>
                <w:szCs w:val="32"/>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noWrap w:val="0"/>
            <w:vAlign w:val="top"/>
          </w:tcPr>
          <w:p>
            <w:pPr>
              <w:spacing w:line="480" w:lineRule="exact"/>
              <w:jc w:val="center"/>
              <w:rPr>
                <w:rFonts w:ascii="仿宋" w:hAnsi="仿宋" w:eastAsia="仿宋"/>
                <w:bCs/>
                <w:kern w:val="0"/>
                <w:sz w:val="32"/>
                <w:szCs w:val="32"/>
              </w:rPr>
            </w:pPr>
            <w:r>
              <w:rPr>
                <w:rFonts w:hint="eastAsia" w:ascii="仿宋" w:hAnsi="仿宋" w:eastAsia="仿宋"/>
                <w:bCs/>
                <w:kern w:val="0"/>
                <w:sz w:val="32"/>
                <w:szCs w:val="32"/>
              </w:rPr>
              <w:t>张京国</w:t>
            </w:r>
          </w:p>
        </w:tc>
        <w:tc>
          <w:tcPr>
            <w:tcW w:w="1985" w:type="dxa"/>
            <w:noWrap w:val="0"/>
            <w:vAlign w:val="top"/>
          </w:tcPr>
          <w:p>
            <w:pPr>
              <w:spacing w:line="480" w:lineRule="exact"/>
              <w:jc w:val="center"/>
              <w:rPr>
                <w:rFonts w:ascii="仿宋" w:hAnsi="仿宋" w:eastAsia="仿宋"/>
                <w:bCs/>
                <w:kern w:val="0"/>
                <w:sz w:val="32"/>
                <w:szCs w:val="32"/>
              </w:rPr>
            </w:pPr>
            <w:r>
              <w:rPr>
                <w:rFonts w:hint="eastAsia" w:ascii="仿宋" w:hAnsi="仿宋" w:eastAsia="仿宋"/>
                <w:bCs/>
                <w:kern w:val="0"/>
                <w:sz w:val="32"/>
                <w:szCs w:val="32"/>
              </w:rPr>
              <w:t>研究员</w:t>
            </w:r>
          </w:p>
        </w:tc>
        <w:tc>
          <w:tcPr>
            <w:tcW w:w="4819" w:type="dxa"/>
            <w:noWrap w:val="0"/>
            <w:vAlign w:val="top"/>
          </w:tcPr>
          <w:p>
            <w:pPr>
              <w:spacing w:line="480" w:lineRule="exact"/>
              <w:jc w:val="center"/>
              <w:rPr>
                <w:rFonts w:ascii="仿宋" w:hAnsi="仿宋" w:eastAsia="仿宋"/>
                <w:bCs/>
                <w:kern w:val="0"/>
                <w:sz w:val="32"/>
                <w:szCs w:val="32"/>
              </w:rPr>
            </w:pPr>
            <w:r>
              <w:rPr>
                <w:rFonts w:hint="eastAsia" w:ascii="仿宋" w:hAnsi="仿宋" w:eastAsia="仿宋"/>
                <w:bCs/>
                <w:kern w:val="0"/>
                <w:sz w:val="32"/>
                <w:szCs w:val="32"/>
              </w:rPr>
              <w:t>安康市蚕桑产业发展中心</w:t>
            </w:r>
          </w:p>
        </w:tc>
      </w:tr>
    </w:tbl>
    <w:p>
      <w:pPr>
        <w:keepNext w:val="0"/>
        <w:keepLines w:val="0"/>
        <w:pageBreakBefore w:val="0"/>
        <w:kinsoku/>
        <w:wordWrap/>
        <w:overflowPunct/>
        <w:topLinePunct w:val="0"/>
        <w:bidi w:val="0"/>
        <w:snapToGrid/>
        <w:spacing w:line="56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收到专家反馈意见后，编制组认真研究每条反馈意见，积极吸纳合理建议，完善技术规程文本，具体有效意见包括：</w:t>
      </w:r>
    </w:p>
    <w:p>
      <w:pPr>
        <w:keepNext w:val="0"/>
        <w:keepLines w:val="0"/>
        <w:pageBreakBefore w:val="0"/>
        <w:kinsoku/>
        <w:wordWrap/>
        <w:overflowPunct/>
        <w:topLinePunct w:val="0"/>
        <w:bidi w:val="0"/>
        <w:snapToGrid/>
        <w:spacing w:line="56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（1）3.2中，将“陕西省行政区域内”修改为“安康市行政区域内”；</w:t>
      </w:r>
    </w:p>
    <w:p>
      <w:pPr>
        <w:keepNext w:val="0"/>
        <w:keepLines w:val="0"/>
        <w:pageBreakBefore w:val="0"/>
        <w:kinsoku/>
        <w:wordWrap/>
        <w:overflowPunct/>
        <w:topLinePunct w:val="0"/>
        <w:bidi w:val="0"/>
        <w:snapToGrid/>
        <w:spacing w:line="56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（2）6.3中，将表格中指标栏拆分为“富硒指标”和“含硒指标”两列；</w:t>
      </w:r>
    </w:p>
    <w:p>
      <w:pPr>
        <w:keepNext w:val="0"/>
        <w:keepLines w:val="0"/>
        <w:pageBreakBefore w:val="0"/>
        <w:kinsoku/>
        <w:wordWrap/>
        <w:overflowPunct/>
        <w:topLinePunct w:val="0"/>
        <w:bidi w:val="0"/>
        <w:snapToGrid/>
        <w:spacing w:line="56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（3）9中，增加“保存产品检验报告单”。修改为“并保存3年以上”；</w:t>
      </w:r>
    </w:p>
    <w:p>
      <w:pPr>
        <w:keepNext w:val="0"/>
        <w:keepLines w:val="0"/>
        <w:pageBreakBefore w:val="0"/>
        <w:kinsoku/>
        <w:wordWrap/>
        <w:overflowPunct/>
        <w:topLinePunct w:val="0"/>
        <w:bidi w:val="0"/>
        <w:snapToGrid/>
        <w:spacing w:line="56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（4）8.1中，包装应该为食品级；</w:t>
      </w:r>
    </w:p>
    <w:p>
      <w:pPr>
        <w:keepNext w:val="0"/>
        <w:keepLines w:val="0"/>
        <w:pageBreakBefore w:val="0"/>
        <w:kinsoku/>
        <w:wordWrap/>
        <w:overflowPunct/>
        <w:topLinePunct w:val="0"/>
        <w:bidi w:val="0"/>
        <w:snapToGrid/>
        <w:spacing w:line="56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（5）6.2中，加上同收获季节。</w:t>
      </w:r>
    </w:p>
    <w:p>
      <w:pPr>
        <w:keepNext w:val="0"/>
        <w:keepLines w:val="0"/>
        <w:pageBreakBefore w:val="0"/>
        <w:kinsoku/>
        <w:wordWrap/>
        <w:overflowPunct/>
        <w:topLinePunct w:val="0"/>
        <w:bidi w:val="0"/>
        <w:snapToGrid/>
        <w:spacing w:line="560" w:lineRule="exact"/>
        <w:ind w:firstLine="643"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标准</w:t>
      </w:r>
      <w:r>
        <w:rPr>
          <w:rFonts w:hint="eastAsia" w:ascii="仿宋_GB2312" w:hAnsi="仿宋_GB2312" w:eastAsia="仿宋_GB2312" w:cs="仿宋_GB2312"/>
          <w:b/>
          <w:bCs/>
          <w:sz w:val="32"/>
          <w:szCs w:val="32"/>
        </w:rPr>
        <w:t>主要起草人及承担的工作</w:t>
      </w:r>
    </w:p>
    <w:p>
      <w:pPr>
        <w:pStyle w:val="5"/>
        <w:keepNext w:val="0"/>
        <w:keepLines w:val="0"/>
        <w:pageBreakBefore w:val="0"/>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本标准起草人苏超、包立军、焦锋和姚程杰负责标准技术试验的总结和标准文本的执笔起草等，张敏娟、陈旗、廉喜红、张立君、谢进军、严晓鹤、陈贵攀、夏曾润、杜小平、赵波、陈杰、杜寒、文 霞、谭琪、吴礼兵等成员承担技术指导、技术方案的实施和标准申报修改工作。</w:t>
      </w:r>
    </w:p>
    <w:p>
      <w:pPr>
        <w:keepNext w:val="0"/>
        <w:keepLines w:val="0"/>
        <w:pageBreakBefore w:val="0"/>
        <w:kinsoku/>
        <w:wordWrap/>
        <w:overflowPunct/>
        <w:topLinePunct w:val="0"/>
        <w:bidi w:val="0"/>
        <w:snapToGrid/>
        <w:spacing w:line="560" w:lineRule="exact"/>
        <w:ind w:firstLine="640" w:firstLineChars="20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二、标准编制原则和标准主要内容依据</w:t>
      </w:r>
    </w:p>
    <w:p>
      <w:pPr>
        <w:keepNext w:val="0"/>
        <w:keepLines w:val="0"/>
        <w:pageBreakBefore w:val="0"/>
        <w:kinsoku/>
        <w:wordWrap/>
        <w:overflowPunct/>
        <w:topLinePunct w:val="0"/>
        <w:bidi w:val="0"/>
        <w:snapToGrid/>
        <w:spacing w:line="560" w:lineRule="exact"/>
        <w:ind w:firstLine="643"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bCs/>
          <w:sz w:val="32"/>
          <w:szCs w:val="32"/>
        </w:rPr>
        <w:t>标准编制原则</w:t>
      </w:r>
    </w:p>
    <w:p>
      <w:pPr>
        <w:keepNext w:val="0"/>
        <w:keepLines w:val="0"/>
        <w:pageBreakBefore w:val="0"/>
        <w:kinsoku/>
        <w:wordWrap/>
        <w:overflowPunct/>
        <w:topLinePunct w:val="0"/>
        <w:bidi w:val="0"/>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本标准内容均符合国家现行的法律、法规及标准要求，并且符合安康市富硒桑叶生产实际需要，具有可操作性。编制格式参照GB/T 1.1--2020《标准化工作导则第1部分：标准的结构和编写》和DB 61/T 1214--2018《地方标准制定规范》。</w:t>
      </w:r>
    </w:p>
    <w:p>
      <w:pPr>
        <w:keepNext w:val="0"/>
        <w:keepLines w:val="0"/>
        <w:pageBreakBefore w:val="0"/>
        <w:kinsoku/>
        <w:wordWrap/>
        <w:overflowPunct/>
        <w:topLinePunct w:val="0"/>
        <w:bidi w:val="0"/>
        <w:snapToGrid/>
        <w:spacing w:line="560" w:lineRule="exact"/>
        <w:ind w:firstLine="643"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标准内</w:t>
      </w:r>
      <w:r>
        <w:rPr>
          <w:rFonts w:hint="eastAsia" w:ascii="仿宋_GB2312" w:hAnsi="仿宋_GB2312" w:eastAsia="仿宋_GB2312" w:cs="仿宋_GB2312"/>
          <w:b/>
          <w:bCs/>
          <w:sz w:val="32"/>
          <w:szCs w:val="32"/>
        </w:rPr>
        <w:t>容编制依据</w:t>
      </w:r>
    </w:p>
    <w:p>
      <w:pPr>
        <w:keepNext w:val="0"/>
        <w:keepLines w:val="0"/>
        <w:pageBreakBefore w:val="0"/>
        <w:kinsoku/>
        <w:wordWrap/>
        <w:overflowPunct/>
        <w:topLinePunct w:val="0"/>
        <w:bidi w:val="0"/>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本标准以生产优质安全的富硒桑叶为目的，按照</w:t>
      </w:r>
      <w:r>
        <w:rPr>
          <w:rFonts w:hint="eastAsia" w:ascii="仿宋_GB2312" w:hAnsi="仿宋_GB2312" w:eastAsia="仿宋_GB2312" w:cs="仿宋_GB2312"/>
          <w:color w:val="363636"/>
          <w:sz w:val="32"/>
          <w:szCs w:val="32"/>
        </w:rPr>
        <w:t xml:space="preserve">GB </w:t>
      </w:r>
      <w:r>
        <w:rPr>
          <w:rFonts w:hint="eastAsia" w:ascii="仿宋_GB2312" w:hAnsi="仿宋_GB2312" w:eastAsia="仿宋_GB2312" w:cs="仿宋_GB2312"/>
          <w:sz w:val="32"/>
          <w:szCs w:val="32"/>
        </w:rPr>
        <w:t>2762、</w:t>
      </w:r>
      <w:r>
        <w:rPr>
          <w:rFonts w:hint="eastAsia" w:ascii="仿宋_GB2312" w:hAnsi="仿宋_GB2312" w:eastAsia="仿宋_GB2312" w:cs="仿宋_GB2312"/>
          <w:color w:val="363636"/>
          <w:sz w:val="32"/>
          <w:szCs w:val="32"/>
        </w:rPr>
        <w:t xml:space="preserve">GB </w:t>
      </w:r>
      <w:r>
        <w:rPr>
          <w:rFonts w:hint="eastAsia" w:ascii="仿宋_GB2312" w:hAnsi="仿宋_GB2312" w:eastAsia="仿宋_GB2312" w:cs="仿宋_GB2312"/>
          <w:sz w:val="32"/>
          <w:szCs w:val="32"/>
        </w:rPr>
        <w:t>19173、GB 5009.93、NY/T 391、NY/T 393、NY/T 394、</w:t>
      </w:r>
      <w:r>
        <w:rPr>
          <w:rFonts w:hint="eastAsia" w:ascii="仿宋_GB2312" w:hAnsi="仿宋_GB2312" w:eastAsia="仿宋_GB2312" w:cs="仿宋_GB2312"/>
          <w:color w:val="363636"/>
          <w:sz w:val="32"/>
          <w:szCs w:val="32"/>
        </w:rPr>
        <w:t xml:space="preserve">NY/T </w:t>
      </w:r>
      <w:r>
        <w:rPr>
          <w:rFonts w:hint="eastAsia" w:ascii="仿宋_GB2312" w:hAnsi="仿宋_GB2312" w:eastAsia="仿宋_GB2312" w:cs="仿宋_GB2312"/>
          <w:sz w:val="32"/>
          <w:szCs w:val="32"/>
        </w:rPr>
        <w:t>1027、DB61/T 388.3、B61/T 1404、DB6124/T 28等标准和富硒桑叶安全生产要求，经过讨论研究、试验验证和实地调研等方式，确定了本标准内容。</w:t>
      </w:r>
    </w:p>
    <w:p>
      <w:pPr>
        <w:keepNext w:val="0"/>
        <w:keepLines w:val="0"/>
        <w:pageBreakBefore w:val="0"/>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本标准规定了富硒桑叶生产技术的产地环境、生产技术、硒含量检测、标签标识、包装储运、建立生产档案等技术要求</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本标准适用于安康市富硒桑叶生产，其他适合地区可参照执行。</w:t>
      </w:r>
    </w:p>
    <w:p>
      <w:pPr>
        <w:keepNext w:val="0"/>
        <w:keepLines w:val="0"/>
        <w:pageBreakBefore w:val="0"/>
        <w:kinsoku/>
        <w:wordWrap/>
        <w:overflowPunct/>
        <w:topLinePunct w:val="0"/>
        <w:bidi w:val="0"/>
        <w:snapToGrid/>
        <w:spacing w:line="560" w:lineRule="exact"/>
        <w:ind w:firstLine="640" w:firstLineChars="20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三、主要试验技术论证结论、预期的经济效益及社会效益</w:t>
      </w:r>
    </w:p>
    <w:p>
      <w:pPr>
        <w:keepNext w:val="0"/>
        <w:keepLines w:val="0"/>
        <w:pageBreakBefore w:val="0"/>
        <w:kinsoku/>
        <w:wordWrap/>
        <w:overflowPunct/>
        <w:topLinePunct w:val="0"/>
        <w:bidi w:val="0"/>
        <w:snapToGrid/>
        <w:spacing w:line="560" w:lineRule="exact"/>
        <w:ind w:firstLine="643"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主要试验技术论证结论</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的制订以2018年西北农林科技大学承担的中国富硒产业研究院“桑树对硒的吸收富集规律及富硒桑叶产品开发关键技术研究”项目、2018年西北农林科技大学石泉蚕桑试验示范基地等项目所取得的阶段性成果为基础。相关技术在</w:t>
      </w:r>
      <w:r>
        <w:rPr>
          <w:rFonts w:hint="eastAsia" w:ascii="仿宋_GB2312" w:hAnsi="仿宋_GB2312" w:eastAsia="仿宋_GB2312" w:cs="仿宋_GB2312"/>
          <w:bCs/>
          <w:sz w:val="32"/>
          <w:szCs w:val="32"/>
        </w:rPr>
        <w:t>石泉县、平利县、汉滨区等多个蚕桑示范基地</w:t>
      </w:r>
      <w:r>
        <w:rPr>
          <w:rFonts w:hint="eastAsia" w:ascii="仿宋_GB2312" w:hAnsi="仿宋_GB2312" w:eastAsia="仿宋_GB2312" w:cs="仿宋_GB2312"/>
          <w:sz w:val="32"/>
          <w:szCs w:val="32"/>
        </w:rPr>
        <w:t>进行了试验示范，多方验证了技术的先进性。</w:t>
      </w:r>
      <w:r>
        <w:rPr>
          <w:rFonts w:hint="eastAsia" w:ascii="仿宋_GB2312" w:hAnsi="仿宋_GB2312" w:eastAsia="仿宋_GB2312" w:cs="仿宋_GB2312"/>
          <w:bCs/>
          <w:sz w:val="32"/>
          <w:szCs w:val="32"/>
        </w:rPr>
        <w:t>相关的技术内容或指标科学合理、符合实际</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bidi w:val="0"/>
        <w:snapToGrid/>
        <w:spacing w:line="560" w:lineRule="exact"/>
        <w:ind w:firstLine="643"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预期经济效益及社会效益</w:t>
      </w:r>
      <w:r>
        <w:rPr>
          <w:rFonts w:hint="eastAsia" w:ascii="仿宋_GB2312" w:hAnsi="仿宋_GB2312" w:eastAsia="仿宋_GB2312" w:cs="仿宋_GB2312"/>
          <w:b/>
          <w:sz w:val="32"/>
          <w:szCs w:val="32"/>
        </w:rPr>
        <w:tab/>
      </w:r>
    </w:p>
    <w:p>
      <w:pPr>
        <w:keepNext w:val="0"/>
        <w:keepLines w:val="0"/>
        <w:pageBreakBefore w:val="0"/>
        <w:kinsoku/>
        <w:wordWrap/>
        <w:overflowPunct/>
        <w:topLinePunct w:val="0"/>
        <w:bidi w:val="0"/>
        <w:snapToGrid/>
        <w:spacing w:line="560" w:lineRule="exact"/>
        <w:ind w:firstLine="640" w:firstLineChars="200"/>
        <w:jc w:val="left"/>
        <w:textAlignment w:val="auto"/>
        <w:outlineLvl w:val="9"/>
        <w:rPr>
          <w:rFonts w:hint="eastAsia" w:ascii="黑体" w:hAnsi="黑体" w:eastAsia="黑体" w:cs="黑体"/>
          <w:b w:val="0"/>
          <w:bCs w:val="0"/>
          <w:sz w:val="32"/>
          <w:szCs w:val="32"/>
        </w:rPr>
      </w:pPr>
      <w:r>
        <w:rPr>
          <w:rFonts w:hint="eastAsia" w:ascii="仿宋_GB2312" w:hAnsi="仿宋_GB2312" w:eastAsia="仿宋_GB2312" w:cs="仿宋_GB2312"/>
          <w:sz w:val="32"/>
          <w:szCs w:val="32"/>
        </w:rPr>
        <w:t>蚕桑资源的多元化、高值化开发是我国当前蚕桑产业转型升级的必然选择。蚕桑产业是安康市传统特色产业，也是精准扶贫中备受推荐的农村发展产业之一，安康又位于中国三大天然富硒带上，号称中国硒谷，蚕桑与富硒的结合，传统产业与地域特色的交集，将为带动秦巴地区及中西部地区农村经济崛起和农民增收，为提高人民的健康水平、充分挖掘安康富硒特色资源的优势和潜力发挥不可替代的推动作用，本项目基于桑树的优势性状和桑叶丰富的营养成分和高营养价值研究桑树对硒的吸收和转运及富集规律及安康市蚕桑主产县区富硒桑园分布，对开发富硒桑叶产品及制品具有重要实践意义，具有良好的社会效益和经济效益前景。</w:t>
      </w:r>
    </w:p>
    <w:p>
      <w:pPr>
        <w:keepNext w:val="0"/>
        <w:keepLines w:val="0"/>
        <w:pageBreakBefore w:val="0"/>
        <w:kinsoku/>
        <w:wordWrap/>
        <w:overflowPunct/>
        <w:topLinePunct w:val="0"/>
        <w:bidi w:val="0"/>
        <w:snapToGrid/>
        <w:spacing w:line="560" w:lineRule="exact"/>
        <w:ind w:firstLine="640" w:firstLineChars="20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四、知识产权说明</w:t>
      </w:r>
    </w:p>
    <w:p>
      <w:pPr>
        <w:keepNext w:val="0"/>
        <w:keepLines w:val="0"/>
        <w:pageBreakBefore w:val="0"/>
        <w:widowControl/>
        <w:kinsoku/>
        <w:wordWrap/>
        <w:overflowPunct/>
        <w:topLinePunct w:val="0"/>
        <w:bidi w:val="0"/>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本标准涉及的相关知识产权主要为自主相关知识产权，无侵权。</w:t>
      </w:r>
    </w:p>
    <w:p>
      <w:pPr>
        <w:keepNext w:val="0"/>
        <w:keepLines w:val="0"/>
        <w:pageBreakBefore w:val="0"/>
        <w:kinsoku/>
        <w:wordWrap/>
        <w:overflowPunct/>
        <w:topLinePunct w:val="0"/>
        <w:bidi w:val="0"/>
        <w:snapToGrid/>
        <w:spacing w:line="560" w:lineRule="exact"/>
        <w:ind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五、与国内外同类标准水平的对比情况</w:t>
      </w:r>
    </w:p>
    <w:p>
      <w:pPr>
        <w:keepNext w:val="0"/>
        <w:keepLines w:val="0"/>
        <w:pageBreakBefore w:val="0"/>
        <w:kinsoku/>
        <w:wordWrap/>
        <w:overflowPunct/>
        <w:topLinePunct w:val="0"/>
        <w:bidi w:val="0"/>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经查，目前国内外暂无富硒桑叶生产相关的技术规程，仅检索到茶叶、水稻、花生和谷子等少数农产品发布了富硒产品生产技术规程，本规程为富硒桑叶生产首个技术规程。</w:t>
      </w:r>
    </w:p>
    <w:p>
      <w:pPr>
        <w:keepNext w:val="0"/>
        <w:keepLines w:val="0"/>
        <w:pageBreakBefore w:val="0"/>
        <w:kinsoku/>
        <w:wordWrap/>
        <w:overflowPunct/>
        <w:topLinePunct w:val="0"/>
        <w:bidi w:val="0"/>
        <w:snapToGrid/>
        <w:spacing w:line="560" w:lineRule="exact"/>
        <w:ind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六、重大意见分歧的处理</w:t>
      </w:r>
    </w:p>
    <w:p>
      <w:pPr>
        <w:keepNext w:val="0"/>
        <w:keepLines w:val="0"/>
        <w:pageBreakBefore w:val="0"/>
        <w:widowControl/>
        <w:kinsoku/>
        <w:wordWrap/>
        <w:overflowPunct/>
        <w:topLinePunct w:val="0"/>
        <w:bidi w:val="0"/>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暂无重大意见分歧。</w:t>
      </w:r>
    </w:p>
    <w:p>
      <w:pPr>
        <w:keepNext w:val="0"/>
        <w:keepLines w:val="0"/>
        <w:pageBreakBefore w:val="0"/>
        <w:kinsoku/>
        <w:wordWrap/>
        <w:overflowPunct/>
        <w:topLinePunct w:val="0"/>
        <w:bidi w:val="0"/>
        <w:snapToGrid/>
        <w:spacing w:line="560" w:lineRule="exact"/>
        <w:ind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七、标准性质的建议说明</w:t>
      </w:r>
    </w:p>
    <w:p>
      <w:pPr>
        <w:keepNext w:val="0"/>
        <w:keepLines w:val="0"/>
        <w:pageBreakBefore w:val="0"/>
        <w:kinsoku/>
        <w:wordWrap/>
        <w:overflowPunct/>
        <w:topLinePunct w:val="0"/>
        <w:bidi w:val="0"/>
        <w:snapToGrid/>
        <w:spacing w:line="560" w:lineRule="exact"/>
        <w:ind w:firstLine="640"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本标准的适用对象主要有相关技术推广机构、专业合作社和种植大户、加工企业等。该标准发布实施后，建议各级相关管理部门组织专题培训，就标准内容进行解读，使土壤硒含量为中硒及以上的蚕区从事富硒桑叶生产的人员了解标准、应用标准，提高生产技术水平。建立标准生产示范区，推动标准化示范区品牌建设和品牌打造。</w:t>
      </w:r>
    </w:p>
    <w:p>
      <w:pPr>
        <w:keepNext w:val="0"/>
        <w:keepLines w:val="0"/>
        <w:pageBreakBefore w:val="0"/>
        <w:kinsoku/>
        <w:wordWrap/>
        <w:overflowPunct/>
        <w:topLinePunct w:val="0"/>
        <w:bidi w:val="0"/>
        <w:snapToGrid/>
        <w:spacing w:line="560" w:lineRule="exact"/>
        <w:ind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八、国内外同类标准</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暂无。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E1BC781-6DE7-425A-9F63-B7839B0F144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646FFC5-731D-4CBB-8978-27B109A90039}"/>
  </w:font>
  <w:font w:name="仿宋">
    <w:panose1 w:val="02010609060101010101"/>
    <w:charset w:val="86"/>
    <w:family w:val="modern"/>
    <w:pitch w:val="default"/>
    <w:sig w:usb0="800002BF" w:usb1="38CF7CFA" w:usb2="00000016" w:usb3="00000000" w:csb0="00040001" w:csb1="00000000"/>
    <w:embedRegular r:id="rId3" w:fontKey="{86312C98-DFEC-45D7-BDE5-DE24F7DAB922}"/>
  </w:font>
  <w:font w:name="方正小标宋简体">
    <w:panose1 w:val="02000000000000000000"/>
    <w:charset w:val="86"/>
    <w:family w:val="script"/>
    <w:pitch w:val="default"/>
    <w:sig w:usb0="00000001" w:usb1="08000000" w:usb2="00000000" w:usb3="00000000" w:csb0="00040000" w:csb1="00000000"/>
    <w:embedRegular r:id="rId4" w:fontKey="{C62BE2AC-07FE-4384-A9DB-9A9EDE833E7C}"/>
  </w:font>
  <w:font w:name="仿宋_GB2312">
    <w:panose1 w:val="02010609030101010101"/>
    <w:charset w:val="86"/>
    <w:family w:val="modern"/>
    <w:pitch w:val="default"/>
    <w:sig w:usb0="00000001" w:usb1="080E0000" w:usb2="00000000" w:usb3="00000000" w:csb0="00040000" w:csb1="00000000"/>
    <w:embedRegular r:id="rId5" w:fontKey="{2BCD631A-68F2-4A44-9552-B4902718B2C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2NzFkODFmNDMyNDgxNjQ3MThlZjZkZjFiNzRkNTIifQ=="/>
  </w:docVars>
  <w:rsids>
    <w:rsidRoot w:val="58B6276E"/>
    <w:rsid w:val="58B6276E"/>
    <w:rsid w:val="6DBE0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段"/>
    <w:qFormat/>
    <w:uiPriority w:val="0"/>
    <w:pPr>
      <w:tabs>
        <w:tab w:val="center" w:pos="4201"/>
        <w:tab w:val="right" w:leader="dot" w:pos="9298"/>
      </w:tabs>
      <w:autoSpaceDE w:val="0"/>
      <w:autoSpaceDN w:val="0"/>
      <w:ind w:firstLine="420" w:firstLineChars="200"/>
      <w:jc w:val="both"/>
    </w:pPr>
    <w:rPr>
      <w:rFonts w:ascii="宋体" w:hAnsi="Times New Roman" w:eastAsia="仿宋"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2374</Words>
  <Characters>2511</Characters>
  <Lines>0</Lines>
  <Paragraphs>0</Paragraphs>
  <TotalTime>0</TotalTime>
  <ScaleCrop>false</ScaleCrop>
  <LinksUpToDate>false</LinksUpToDate>
  <CharactersWithSpaces>2529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2023-03-07T09:04:00Z</dcterms:created>
  <dc:creator>蹄蹄</dc:creator>
  <cp:lastModifiedBy>蹄蹄</cp:lastModifiedBy>
  <dcterms:modified xsi:type="dcterms:W3CDTF">2023-03-07T09:06:39Z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C68F2704046A44DE8E8F6FF6781C7CED</vt:lpwstr>
  </property>
</Properties>
</file>