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jc w:val="right"/>
        <w:rPr>
          <w:rFonts w:ascii="等线" w:hAnsi="等线" w:eastAsia="等线" w:cs="等线"/>
          <w:b/>
          <w:sz w:val="84"/>
          <w:szCs w:val="84"/>
        </w:rPr>
      </w:pPr>
      <w:r>
        <w:rPr>
          <w:rFonts w:hint="eastAsia" w:ascii="等线" w:hAnsi="等线" w:eastAsia="等线" w:cs="等线"/>
          <w:b/>
          <w:sz w:val="84"/>
          <w:szCs w:val="84"/>
        </w:rPr>
        <w:t>DB6109</w:t>
      </w:r>
    </w:p>
    <w:p>
      <w:pPr>
        <w:jc w:val="distribute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安康市地方标准</w:t>
      </w:r>
    </w:p>
    <w:p>
      <w:pPr>
        <w:jc w:val="right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DB6109/T xxx-XXXX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Calibri" w:hAnsi="Calibri" w:eastAsia="宋体" w:cs="Times New Roman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</wp:posOffset>
                </wp:positionV>
                <wp:extent cx="5397500" cy="0"/>
                <wp:effectExtent l="0" t="9525" r="1270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4745" y="2566670"/>
                          <a:ext cx="5397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pt;margin-top:1pt;height:0pt;width:425pt;z-index:251660288;mso-width-relative:page;mso-height-relative:page;" coordsize="21600,21600" o:gfxdata="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Z/un1gAAAAYBAAAPAAAAAAAAAAEAIAAAACIAAABkcnMvZG93bnJldi54bWxQSwEC&#10;FAAUAAAACACHTuJA5CQ6RvYBAADMAwAADgAAAAAAAAABACAAAAAlAQAAZHJzL2Uyb0RvYy54bWxQ&#10;SwUGAAAAAAYABgBZAQAAjQUAAAAA&#10;">
                <v:path arrowok="t"/>
                <v:fill focussize="0,0"/>
                <v:stroke weight="1.5pt" joinstyle="miter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黄花菜栽培技术规程</w:t>
      </w:r>
    </w:p>
    <w:p>
      <w:pPr>
        <w:spacing w:line="60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(征求意见稿)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ascii="仿宋" w:hAnsi="仿宋" w:eastAsia="仿宋" w:cs="方正小标宋简体"/>
          <w:bCs/>
          <w:sz w:val="32"/>
          <w:szCs w:val="32"/>
        </w:rPr>
      </w:pPr>
    </w:p>
    <w:p>
      <w:pPr>
        <w:rPr>
          <w:rFonts w:ascii="仿宋" w:hAnsi="仿宋" w:eastAsia="仿宋" w:cs="方正小标宋简体"/>
          <w:bCs/>
          <w:sz w:val="32"/>
          <w:szCs w:val="32"/>
        </w:rPr>
      </w:pPr>
    </w:p>
    <w:p>
      <w:pPr>
        <w:rPr>
          <w:rFonts w:ascii="仿宋" w:hAnsi="仿宋" w:eastAsia="仿宋" w:cs="方正小标宋简体"/>
          <w:bCs/>
          <w:sz w:val="32"/>
          <w:szCs w:val="32"/>
        </w:rPr>
      </w:pPr>
    </w:p>
    <w:p>
      <w:pPr>
        <w:rPr>
          <w:rFonts w:ascii="仿宋" w:hAnsi="仿宋" w:eastAsia="仿宋" w:cs="方正小标宋简体"/>
          <w:bCs/>
          <w:sz w:val="32"/>
          <w:szCs w:val="32"/>
        </w:rPr>
      </w:pPr>
    </w:p>
    <w:p>
      <w:pPr>
        <w:rPr>
          <w:rFonts w:ascii="仿宋" w:hAnsi="仿宋" w:eastAsia="仿宋" w:cs="方正小标宋简体"/>
          <w:bCs/>
          <w:sz w:val="32"/>
          <w:szCs w:val="32"/>
        </w:rPr>
      </w:pPr>
    </w:p>
    <w:p>
      <w:pPr>
        <w:rPr>
          <w:rFonts w:ascii="仿宋" w:hAnsi="仿宋" w:eastAsia="仿宋" w:cs="方正小标宋简体"/>
          <w:bCs/>
          <w:sz w:val="32"/>
          <w:szCs w:val="32"/>
        </w:rPr>
      </w:pPr>
      <w:r>
        <w:rPr>
          <w:rFonts w:hint="eastAsia" w:ascii="仿宋" w:hAnsi="仿宋" w:eastAsia="仿宋" w:cs="方正小标宋简体"/>
          <w:bCs/>
          <w:sz w:val="32"/>
          <w:szCs w:val="32"/>
        </w:rPr>
        <w:t>XXXX-XX-XX发布                       XXXX-XX-XX实施</w:t>
      </w:r>
    </w:p>
    <w:p>
      <w:pPr>
        <w:spacing w:line="580" w:lineRule="exact"/>
        <w:ind w:firstLine="643" w:firstLineChars="200"/>
        <w:jc w:val="center"/>
        <w:rPr>
          <w:rFonts w:ascii="仿宋" w:hAnsi="仿宋" w:eastAsia="仿宋" w:cs="方正小标宋简体"/>
          <w:bCs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方正小标宋简体"/>
          <w:b/>
          <w:sz w:val="32"/>
          <w:szCs w:val="32"/>
        </w:rPr>
        <w:t>安康市市场监督管理局</w:t>
      </w:r>
      <w:bookmarkStart w:id="0" w:name="_GoBack"/>
      <w:r>
        <w:rPr>
          <w:rFonts w:ascii="仿宋" w:hAnsi="仿宋" w:eastAsia="仿宋" w:cs="方正小标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10795</wp:posOffset>
                </wp:positionV>
                <wp:extent cx="5397500" cy="0"/>
                <wp:effectExtent l="0" t="9525" r="1270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pt;margin-top:0.85pt;height:0pt;width:425pt;z-index:251661312;mso-width-relative:page;mso-height-relative:page;" coordsize="21600,21600" o:gfxdata="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UBzYjUAAAA&#10;BgEAAA8AAAAAAAAAAQAgAAAAIgAAAGRycy9kb3ducmV2LnhtbFBLAQIUABQAAAAIAIdO4kBOClpJ&#10;6AEAAMADAAAOAAAAAAAAAAEAIAAAACMBAABkcnMvZTJvRG9jLnhtbFBLBQYAAAAABgAGAFkBAAB9&#10;BQAAAAA=&#10;">
                <v:path arrowok="t"/>
                <v:fill focussize="0,0"/>
                <v:stroke weight="1.5pt" joinstyle="miter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" w:hAnsi="仿宋" w:eastAsia="仿宋" w:cs="方正小标宋简体"/>
          <w:bCs/>
          <w:sz w:val="32"/>
          <w:szCs w:val="32"/>
        </w:rPr>
        <w:t>发 布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录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前言 ..............................................................Ⅱ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1范围 ............................................................. 1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 规范性引用文件 ...................................................1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 定义 ............................................................ 1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 产地环境 ........................................................ 1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 生产技术 ........................................................ 1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 良种选择 .................................................. 1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 种苗选择 .................................................. 1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5.3 种苗处理 .................................................. 2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5.4 整地施肥 .................................................. 2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5.5 开沟栽植 .................................................. 2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5.6 除草 ...................................................... 2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5.7 施肥 ...................................................... 2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5.8 排水 ...................................................... 2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 病虫害防治 ...................................................... 3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6.1 防治原则 .................................................. 3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6.2 农业防治 .................................................. 3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6.3 物理防治 .................................................. 3</w:t>
      </w: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6.4 化学防治 .................................................. 3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 适时采收 ........................................................ 3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 生产废弃物处理 .................................................. 4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 档案管理 ........................................................ 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 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黄花菜是石泉县乡村振兴的主要产业，种植面积1.5万亩，辐射带动安康四县一区黄花菜种植面积3万亩。亩产值6000至8000元，出口到东南亚各国，年出口创汇600余万美元。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本文件按照GB/T 1.1-2020《标准化工作导则 第1部分：标准化文件的结构和起草规则》给出的规则起草。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本文件由石泉县农业综合执法大队提出。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本文件由安康市农业农村局归口。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本文件主要起草单位：石泉县农业综合执法大队、安康市农产品质量安全检验监测中心、安康正兴有机绿色食品股份有限公司、陕西省农产品质量安全中心、农业农村部质量标准研究中心。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本文件主要起草人：张莉、陈潇、南家寨、王金兰、王良全、谭琪、曹康、王转丽、方向辉、陆婷、徐贞贞、李登炎、陈杰、郭昇、陈浩、彭奇、刘晨、罗丽珊。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本文件首次发布。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本文件由石泉县农业综合执法大队负责解释。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单位：石泉县农业综合执法大队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电话：0915-6321433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地址：石泉县城关镇滨江大道中段1号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邮编：725200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 范围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本标准规定了陕西省安康市地区黄花菜的定义、产地环境、生产技术、病虫害防治、适时采收、生产废弃物处理和档案管理。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本标准适用于陕西省安康市地区的鲜黄花菜生产。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 规范性引用文件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NY/T 391  绿色食品 产地环境质量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NY/T 393  绿色食品 农药使用准则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NY/T 394  绿色食品 肥料使用准则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 定义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下列定义适用于本文件。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3.1 花薹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指由抽薹而急速伸长的茎，亦称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"https://baike.baidu.com/item/%E8%8A%B1%E8%8C%8E" \t "https://baike.baidu.com/item/%E8%8A%B1%E8%96%B9/_blank"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花茎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3.2 适时采收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开花前1～2h采摘，即不等花蕾开裂，其颜色未变暗时采摘。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 产地环境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农田大气、水质、土壤等产地环境条件应符合NY/T 391的规定。　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 生产技术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5.1良种选择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选择适应当地气候条件和抗逆性好的原生品种“猛子花”和“猛子花一号”。　　 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5.2种苗选择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在花蕾始收期对种苗进行实地考察，植株达3片～4片叶，健壮无病，叶色浓绿，叶片宽厚，根系发达，种性特征明显的定为种苗对象。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5.3 种苗处理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对选定的种苗在栽植前首要进行必要的修剪，将带有顶芽的株片一株一株分开，去掉部分老根、叶片、剥除朽篼黑蒂枯根，剪除多余的须根，裁断过长的肉质根。对修剪后的种苗按大小进行分类。　　 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5.4整地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栽植前，必须精细整地，园地四周开好深30cm以上的围沟，以利雨涝季节排除积水。　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5.5开沟栽植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采用分株繁植的方法。栽种行距：宽行80cm，窄行40cm，窝矩14～18cm，沟深8～10cm。栽种时间可以是冬季至春季（9月～来年4月份）。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5.6除草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早春春苗还未露土或刚出地面，进行一次松土除草，减少病虫害，提高地温，促苗早发。出苗后，应做到施肥前先锄草，土壤板结必锄，杂草多时即锄，经常保持土壤疏松无杂草。　　 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5.7 施肥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5.7.1 施肥原则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严格按照NY/T 394 绿色食品肥料使用准则操作。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5.7.2 施肥要点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5.7.2.1 施足冬肥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秋苗凋萎去掉后，结合整地，深施一次越冬肥，每亩苗用腐熟农家肥2000～3000kg。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5.7.2.2早施苗肥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黄花菜自3月中旬陆续出苗后，到花薹抽出前这一阶段为苗期。春苗施肥应在春苗萌芽进行。一般每亩施腐熟农家肥1000～1500kg。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5.7.2.3重施薹肥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在黄花菜采摘前40天结合中耕施用，用生物有机肥在篼边附近开沟深施。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5.8 排水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猛子花”和“猛子花一号”属于耐旱抗冻品种，加上安康市自然生态环境良好，雨水充沛，全年平均降雨量在877mm，无需灌溉；涝季应及时做好黄花菜地的清沟排水工作，防止浸害，以保证黄花菜产品质量和产量。　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 病虫害防治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6.1 防治原则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治病虫害时，切实贯彻执行“预防为主，综合防治”的植保方针，坚持以“农业防治、物理防治为主，化学防治为辅”的综合防治原则。使用农药时，首选生物源、矿物源农药，确需使用其它农药时，严格执行NY/T 393农药使用准则。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6.2 农业防治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选择抗抗逆性好的品种“猛子花”和“猛子花一号”。病害多发地区，降低栽植密度，增强通风透光能力。勤锄杂草。发现病株及时治疗，严重的挖出病株后集中进行无害化处理，减少病害传播。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6.3 物理防治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利用黄色粘虫板，诱杀有翅蚜。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 化学防治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黄花菜作为多年生草本植物，在适宜的环境生长，本身不产生严重病变，也没有虫害天敌，只有其他农作物害虫偶尔伤及叶丛。花蕾抽苔以后禁止使用任何药物。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6.4.1 锈病的防治方法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黄花菜偶尔发生锈病，一般发生在3月下旬至4月下旬，叶部产生锈色粉斑。预防叶斑病，在四月下旬前，用有效成分为戊唑醇50%、肟菌酯25%的肟菌·戊唑醇水分散粒剂，兑水后均匀、全面喷雾。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6.4.2 蚜虫的防治方法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蚜虫防治在抽薹花蕾期，用10%的吡虫啉可湿性粉剂，于低龄若虫期，蚜虫始盛期喷雾防治。叶面撒草木灰也可做到防治蚜虫的目的。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7适时采收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7.1 采收时间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安康市黄花菜一般在6月上旬到8月下旬采摘。花蕾泛黄，紧实饱满，有光泽、长至长度在10cm以上，花蕾含苞待放，花蕾在裂嘴前1～2小时采摘。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7.2 采收方法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采摘者身挎竹筐，一手扶住花苔，一手用母指，食指和中指掐住花蕾基部，轻轻朝下一扳，即可摘下。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摘满一筐，轻轻倒入大筐中，不能搓压，避免暴晒，以防花蕾断裂和提前开放。采摘的花蕾必须尽快集中（不得密封重压）运送到加工厂，以便及时加工。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自采摘后到加工，常温下不能超过3小时。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 生产废弃物处理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花菜收获后，将残枝败叶和杂草清理干净，集中进行无害化处理。或将秸秆粉碎后，经充分发酵用于非蔬菜作物的施肥，或用在设施农业温室内挖坑或挖槽填入，致其发酵产生二氧化碳。集中清理废弃的肥料和农药包装袋（容器）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 生产档案管理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安康市黄花菜生产必须建立档案，记录整个生产过程的农事操作，尤其是农药使用情况。生产档案应有专人专柜保管，记录文件至少保存3年以上。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thick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thick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49B0C-0476-44C8-9052-5F24469C2E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97BAF09-14C5-4AD8-9A2D-08C5B776CD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9B84B1-FE06-49DD-A94E-D56D511197BA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5E3EA2A-0B6F-4DF1-8247-E450327065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E79E31-A74E-4E24-8034-D2E99B04990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zFkODFmNDMyNDgxNjQ3MThlZjZkZjFiNzRkNTIifQ=="/>
  </w:docVars>
  <w:rsids>
    <w:rsidRoot w:val="5FA65920"/>
    <w:rsid w:val="5FA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2023-03-07T09:09:00Z</dcterms:created>
  <dc:creator>蹄蹄</dc:creator>
  <cp:lastModifiedBy>蹄蹄</cp:lastModifiedBy>
  <dcterms:modified xsi:type="dcterms:W3CDTF">2023-03-07T09:10:10Z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C2E52414C5F544AB9735F8422BCBE32B</vt:lpwstr>
  </property>
</Properties>
</file>