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32" w:lineRule="auto"/>
        <w:jc w:val="center"/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kern w:val="0"/>
          <w:sz w:val="44"/>
          <w:szCs w:val="44"/>
        </w:rPr>
        <w:t>政府信息公开情况统计表</w:t>
      </w:r>
    </w:p>
    <w:p>
      <w:pPr>
        <w:widowControl/>
        <w:spacing w:line="432" w:lineRule="auto"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2018年度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eastAsia="zh-CN"/>
        </w:rPr>
        <w:t>）</w:t>
      </w:r>
    </w:p>
    <w:p>
      <w:pPr>
        <w:widowControl/>
        <w:spacing w:line="432" w:lineRule="auto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/>
          <w:kern w:val="0"/>
          <w:sz w:val="20"/>
          <w:szCs w:val="20"/>
        </w:rPr>
        <w:t>填报单位（盖章）：</w:t>
      </w:r>
      <w:r>
        <w:rPr>
          <w:rFonts w:hint="eastAsia" w:ascii="宋体" w:hAnsi="宋体" w:cs="宋体"/>
          <w:kern w:val="0"/>
          <w:sz w:val="20"/>
          <w:szCs w:val="20"/>
          <w:lang w:eastAsia="zh-CN"/>
        </w:rPr>
        <w:t>安康市工商行政管理局</w:t>
      </w:r>
      <w:r>
        <w:rPr>
          <w:rFonts w:ascii="宋体" w:hAnsi="宋体" w:cs="宋体"/>
          <w:kern w:val="0"/>
          <w:sz w:val="24"/>
          <w:szCs w:val="24"/>
        </w:rPr>
        <w:t> </w:t>
      </w:r>
    </w:p>
    <w:tbl>
      <w:tblPr>
        <w:tblStyle w:val="2"/>
        <w:tblpPr w:leftFromText="180" w:rightFromText="180" w:vertAnchor="page" w:horzAnchor="margin" w:tblpXSpec="center" w:tblpY="3026"/>
        <w:tblW w:w="93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0"/>
        <w:gridCol w:w="820"/>
        <w:gridCol w:w="11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统计数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一、主动公开情况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（一）主动公开政府信息数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（不同渠道和方式公开相同信息计1条）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其中：主动公开规范性文件数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制发规范性文件总数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（二）通过不同渠道和方式公开政府信息的情况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1.政府公报公开政府信息数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2.政府网站公开政府信息数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3.政务微博公开政府信息数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4.政务微信公开政府信息数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5.其他方式公开政府信息数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二、回应解读情况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　（一）回应公众关注热点或重大舆情数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（不同方式回应同一热点或舆情计1次）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（二）通过不同渠道和方式回应解读的情况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1.参加或举办新闻发布会总次数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 其中：主要负责同志参加新闻发布会次数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2.政府网站在线访谈次数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 其中：主要负责同志参加政府网站在线访谈次数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3.政策解读稿件发布数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篇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4.微博微信回应事件数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5.其他方式回应事件数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三、依申请公开情况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（一）收到申请数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1.当面申请数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2.传真申请数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3.网络申请数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4.信函申请数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（二）申请办结数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1.按时办结数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2.延期办结数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（三）申请答复数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1.属于已主动公开范围数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2.同意公开答复数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3.同意部分公开答复数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4.不同意公开答复数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 　其中：涉及国家秘密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涉及商业秘密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涉及个人隐私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危及国家安全、公共安全、经济安全和社会稳定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不是《条例》所指政府信息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　　　　 法律法规规定的其他情形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5.不属于本行政机关公开数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6.申请信息不存在数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7.告知作出更改补充数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8.告知通过其他途径办理数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四、行政复议数量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（一）维持具体行政行为数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五、行政诉讼数量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（一）维持具体行政行为或者驳回原告诉讼请求数 </w:t>
            </w:r>
            <w:bookmarkStart w:id="0" w:name="_GoBack"/>
            <w:bookmarkEnd w:id="0"/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（二）被依法纠错数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（三）其他情形数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六、举报投诉数量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件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七、依申请公开信息收取的费用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八、机构建设和保障经费情况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（一）政府信息公开工作专门机构数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（二）设置政府信息公开查阅点数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个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（三）从事政府信息公开工作人员数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1.专职人员数（不包括政府公报及政府网站工作人员数）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　　　2.兼职人员数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万元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九、政府信息公开会议和培训情况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（一）召开政府信息公开工作会议或专题会议数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（二）举办各类培训班数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　　（三）接受培训人员数 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人次 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B2"/>
    <w:rsid w:val="00266C60"/>
    <w:rsid w:val="008C7AF2"/>
    <w:rsid w:val="009312B2"/>
    <w:rsid w:val="00F573F2"/>
    <w:rsid w:val="06EB30B3"/>
    <w:rsid w:val="41C6705A"/>
    <w:rsid w:val="54444F0F"/>
    <w:rsid w:val="553B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AK INFO</Company>
  <Pages>3</Pages>
  <Words>236</Words>
  <Characters>1350</Characters>
  <Lines>11</Lines>
  <Paragraphs>3</Paragraphs>
  <TotalTime>23</TotalTime>
  <ScaleCrop>false</ScaleCrop>
  <LinksUpToDate>false</LinksUpToDate>
  <CharactersWithSpaces>1583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2018-03-07T01:32:00Z</dcterms:created>
  <dc:creator>石泉县国税局</dc:creator>
  <cp:lastModifiedBy>user</cp:lastModifiedBy>
  <cp:lastPrinted>2019-02-16T06:19:00Z</cp:lastPrinted>
  <dcterms:modified xsi:type="dcterms:W3CDTF">2019-02-18T07:25:54Z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