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ectPr>
          <w:headerReference r:id="rId6" w:type="first"/>
          <w:footerReference r:id="rId9" w:type="first"/>
          <w:headerReference r:id="rId5" w:type="default"/>
          <w:footerReference r:id="rId7" w:type="default"/>
          <w:footerReference r:id="rId8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2038350</wp:posOffset>
                </wp:positionV>
                <wp:extent cx="6121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35pt;margin-top:160.5pt;height:0pt;width:482pt;z-index:251667456;mso-width-relative:page;mso-height-relative:page;" filled="f" stroked="t" coordsize="21600,21600" o:gfxdata="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sLeX9YAAAAJAQAADwAAAAAAAAABACAAAAAiAAAAZHJzL2Rvd25yZXYueG1sUEsBAhQA&#10;FAAAAAgAh07iQLjP4wL0AQAA5QMAAA4AAAAAAAAAAQAgAAAAJQEAAGRycy9lMm9Eb2MueG1sUEsF&#10;BgAAAAAGAAYAWQEAAIs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8686165</wp:posOffset>
                </wp:positionV>
                <wp:extent cx="6121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683.95pt;height:0pt;width:482pt;z-index:251668480;mso-width-relative:page;mso-height-relative:page;" filled="f" stroked="t" coordsize="21600,21600" o:gfxdata="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9iXNYAAAALAQAADwAAAAAAAAABACAAAAAiAAAAZHJzL2Rvd25yZXYueG1sUEsBAhQA&#10;FAAAAAgAh07iQO4WhTX0AQAA5wMAAA4AAAAAAAAAAQAgAAAAJQEAAGRycy9lMm9Eb2MueG1sUEsF&#10;BgAAAAAGAAYAWQEAAIs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8796020</wp:posOffset>
                </wp:positionV>
                <wp:extent cx="6085840" cy="675640"/>
                <wp:effectExtent l="0" t="0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ind w:firstLine="1052" w:firstLineChars="200"/>
                              <w:jc w:val="both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安康市市场监督管理局</w:t>
                            </w:r>
                            <w:r>
                              <w:rPr>
                                <w:rStyle w:val="16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16"/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Style w:val="16"/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Style w:val="16"/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16"/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pt;margin-top:692.6pt;height:53.2pt;width:479.2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9NNnNkAAAALAQAADwAAAAAAAAABACAAAAAiAAAA&#10;ZHJzL2Rvd25yZXYueG1sUEsBAhQAFAAAAAgAh07iQHRQYPvNAQAAmw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ind w:firstLine="1052" w:firstLineChars="200"/>
                        <w:jc w:val="both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安康市市场监督管理局</w:t>
                      </w:r>
                      <w:r>
                        <w:rPr>
                          <w:rStyle w:val="16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16"/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Style w:val="16"/>
                          <w:rFonts w:hint="eastAsia"/>
                        </w:rPr>
                        <w:t>发</w:t>
                      </w:r>
                      <w:r>
                        <w:rPr>
                          <w:rStyle w:val="16"/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16"/>
                          <w:rFonts w:hint="eastAsia"/>
                        </w:rPr>
                        <w:t>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4278630</wp:posOffset>
                </wp:positionH>
                <wp:positionV relativeFrom="margin">
                  <wp:posOffset>8244840</wp:posOffset>
                </wp:positionV>
                <wp:extent cx="1832610" cy="631190"/>
                <wp:effectExtent l="0" t="0" r="15240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ind w:right="420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cs="黑体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2022-XX-XX  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9pt;margin-top:649.2pt;height:49.7pt;width:144.3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BGqf3bAAAADQEAAA8AAAAAAAAAAQAgAAAA&#10;IgAAAGRycy9kb3ducmV2LnhtbFBLAQIUABQAAAAIAIdO4kAscP6nzwEAAJ0DAAAOAAAAAAAAAAEA&#10;IAAAACo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ind w:right="420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cs="黑体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2022-XX-XX  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73660</wp:posOffset>
                </wp:positionH>
                <wp:positionV relativeFrom="margin">
                  <wp:posOffset>8243570</wp:posOffset>
                </wp:positionV>
                <wp:extent cx="2094865" cy="576580"/>
                <wp:effectExtent l="0" t="0" r="63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2022-XX-XX  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649.1pt;height:45.4pt;width:164.9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OvyttsAAAAMAQAADwAAAAAAAAABACAA&#10;AAAiAAAAZHJzL2Rvd25yZXYueG1sUEsBAhQAFAAAAAgAh07iQDk2WtHRAQAAm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2022-XX-XX  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193675</wp:posOffset>
                </wp:positionH>
                <wp:positionV relativeFrom="margin">
                  <wp:posOffset>2240915</wp:posOffset>
                </wp:positionV>
                <wp:extent cx="5969000" cy="468122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陕茶1号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部分：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建园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技术规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范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稿）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2"/>
                            </w:pPr>
                          </w:p>
                          <w:p>
                            <w:pPr>
                              <w:pStyle w:val="23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5pt;margin-top:176.45pt;height:368.6pt;width:47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2MdUfYAAAACwEAAA8AAAAA&#10;AAAAAQAgAAAAIgAAAGRycy9kb3ducmV2LnhtbFBLAQIUABQAAAAIAIdO4kBgnpSX2wEAAKoDAAAO&#10;AAAAAAAAAAEAIAAAACcBAABkcnMvZTJvRG9jLnhtbFBLBQYAAAAABgAGAFkBAAB0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bidi w:val="0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陕茶1号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部分：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建园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技术规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范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征求意见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稿）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2"/>
                      </w:pPr>
                    </w:p>
                    <w:p>
                      <w:pPr>
                        <w:pStyle w:val="2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037580" cy="860425"/>
                <wp:effectExtent l="0" t="0" r="127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jc w:val="center"/>
                              <w:rPr>
                                <w:rFonts w:hint="default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DB6109/TXX.XX-2022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75.4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5i+v1wAAAAgBAAAPAAAAAAAAAAEAIAAAACIA&#10;AABkcnMvZG93bnJldi54bWxQSwECFAAUAAAACACHTuJAHUP4d9EBAACb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4"/>
                        <w:jc w:val="center"/>
                        <w:rPr>
                          <w:rFonts w:hint="default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DB6109/TXX.XX-2022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3645535</wp:posOffset>
                </wp:positionH>
                <wp:positionV relativeFrom="margin">
                  <wp:posOffset>93980</wp:posOffset>
                </wp:positionV>
                <wp:extent cx="2424430" cy="582930"/>
                <wp:effectExtent l="0" t="0" r="1397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wordWrap w:val="0"/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 w:eastAsia="宋体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  <w:t>DB6109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05pt;margin-top:7.4pt;height:45.9pt;width:190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shNs2QAAAAoBAAAPAAAAAAAAAAEAIAAAACIAAABk&#10;cnMvZG93bnJldi54bWxQSwECFAAUAAAACACHTuJAvWYuzswBAACb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wordWrap w:val="0"/>
                        <w:ind w:left="0" w:leftChars="0" w:right="0" w:rightChars="0" w:firstLine="0" w:firstLineChars="0"/>
                        <w:jc w:val="center"/>
                        <w:rPr>
                          <w:rFonts w:hint="default" w:eastAsia="宋体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 w:val="0"/>
                          <w:sz w:val="44"/>
                          <w:szCs w:val="44"/>
                          <w:lang w:val="en-US" w:eastAsia="zh-CN"/>
                        </w:rPr>
                        <w:t>DB6109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</w:rPr>
                              <w:t>安康市地方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标准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g5HBdcAAAAIAQAADwAAAAAAAAAB&#10;ACAAAAAiAAAAZHJzL2Rvd25yZXYueG1sUEsBAhQAFAAAAAgAh07iQAcsnNbYAQAAqQMAAA4AAAAA&#10;AAAAAQAgAAAAJg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val="en-US" w:eastAsia="zh-CN"/>
                        </w:rPr>
                        <w:t>安康市地方</w:t>
                      </w: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</w:pPr>
                            <w:r>
                              <w:t>ICS</w:t>
                            </w:r>
                          </w:p>
                          <w:p>
                            <w:pPr>
                              <w:pStyle w:val="27"/>
                            </w:pPr>
                          </w:p>
                          <w:p>
                            <w:pPr>
                              <w:pStyle w:val="27"/>
                            </w:pPr>
                            <w:r>
                              <w:rPr>
                                <w:rFonts w:hint="eastAsia"/>
                              </w:rPr>
                              <w:t>备案号：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ezL4NMAAAAFAQAADwAAAAAAAAABACAA&#10;AAAiAAAAZHJzL2Rvd25yZXYueG1sUEsBAhQAFAAAAAgAh07iQGjZx2rZAQAAqQMAAA4AAAAAAAAA&#10;AQAgAAAAIgEAAGRycy9lMm9Eb2MueG1sUEsFBgAAAAAGAAYAWQEAAG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</w:pPr>
                      <w:r>
                        <w:t>ICS</w:t>
                      </w:r>
                    </w:p>
                    <w:p>
                      <w:pPr>
                        <w:pStyle w:val="27"/>
                      </w:pPr>
                    </w:p>
                    <w:p>
                      <w:pPr>
                        <w:pStyle w:val="27"/>
                      </w:pPr>
                      <w:r>
                        <w:rPr>
                          <w:rFonts w:hint="eastAsia"/>
                        </w:rPr>
                        <w:t>备案号：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wordWrap w:val="0"/>
        <w:jc w:val="both"/>
        <w:rPr>
          <w:rFonts w:hint="default" w:ascii="Times New Roman" w:hAnsi="宋体" w:eastAsia="宋体"/>
          <w:sz w:val="28"/>
          <w:szCs w:val="28"/>
          <w:lang w:val="en-US" w:eastAsia="zh-CN"/>
        </w:rPr>
      </w:pPr>
      <w:r>
        <w:rPr>
          <w:rFonts w:hint="eastAsia" w:ascii="Times New Roman" w:hAnsi="宋体" w:eastAsia="宋体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宋体" w:eastAsia="黑体"/>
          <w:sz w:val="32"/>
          <w:szCs w:val="32"/>
        </w:rPr>
        <w:t>目    次</w:t>
      </w:r>
    </w:p>
    <w:sdt>
      <w:sdtPr>
        <w:rPr>
          <w:rFonts w:ascii="宋体" w:hAnsi="宋体" w:eastAsia="宋体" w:cs="Times New Roman"/>
          <w:kern w:val="2"/>
          <w:sz w:val="21"/>
          <w:szCs w:val="32"/>
          <w:lang w:val="en-US" w:eastAsia="zh-CN" w:bidi="ar-SA"/>
        </w:rPr>
        <w:id w:val="147471078"/>
        <w15:color w:val="DBDBDB"/>
        <w:docPartObj>
          <w:docPartGallery w:val="Table of Contents"/>
          <w:docPartUnique/>
        </w:docPartObj>
      </w:sdtPr>
      <w:sdtEndPr>
        <w:rPr>
          <w:rFonts w:ascii="宋体" w:hAnsi="Calibri" w:eastAsia="宋体" w:cs="Times New Roman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_Toc4671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szCs w:val="32"/>
            </w:rPr>
            <w:t>前     言</w:t>
          </w:r>
          <w:r>
            <w:tab/>
          </w:r>
          <w:r>
            <w:fldChar w:fldCharType="begin"/>
          </w:r>
          <w:r>
            <w:instrText xml:space="preserve"> PAGEREF _Toc4671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_Toc1242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1 范围</w:t>
          </w:r>
          <w:r>
            <w:tab/>
          </w:r>
          <w:r>
            <w:fldChar w:fldCharType="begin"/>
          </w:r>
          <w:r>
            <w:instrText xml:space="preserve"> PAGEREF _Toc1242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_Toc15025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Cs w:val="21"/>
              <w:lang w:val="en-US" w:eastAsia="zh-CN" w:bidi="ar-SA"/>
            </w:rPr>
            <w:t>3 术语与定义</w:t>
          </w:r>
          <w:r>
            <w:tab/>
          </w:r>
          <w:r>
            <w:fldChar w:fldCharType="begin"/>
          </w:r>
          <w:r>
            <w:instrText xml:space="preserve"> PAGEREF _Toc15025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_Toc26212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4 茶园园地建设</w:t>
          </w:r>
          <w:r>
            <w:tab/>
          </w:r>
          <w:r>
            <w:fldChar w:fldCharType="begin"/>
          </w:r>
          <w:r>
            <w:instrText xml:space="preserve"> PAGEREF _Toc26212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_Toc22803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5 种植技术</w:t>
          </w:r>
          <w:r>
            <w:tab/>
          </w:r>
          <w:r>
            <w:fldChar w:fldCharType="begin"/>
          </w:r>
          <w:r>
            <w:instrText xml:space="preserve"> PAGEREF _Toc22803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_Toc18276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6 茶园幼苗期管理</w:t>
          </w:r>
          <w:r>
            <w:tab/>
          </w:r>
          <w:r>
            <w:fldChar w:fldCharType="begin"/>
          </w:r>
          <w:r>
            <w:instrText xml:space="preserve"> PAGEREF _Toc18276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2"/>
            <w:ind w:firstLine="420"/>
          </w:pPr>
          <w:r>
            <w:fldChar w:fldCharType="end"/>
          </w:r>
        </w:p>
      </w:sdtContent>
    </w:sdt>
    <w:p/>
    <w:p/>
    <w:p/>
    <w:p/>
    <w:p/>
    <w:p/>
    <w:p/>
    <w:p/>
    <w:p>
      <w:pPr>
        <w:tabs>
          <w:tab w:val="left" w:pos="1600"/>
        </w:tabs>
        <w:rPr>
          <w:rFonts w:hint="eastAsia"/>
        </w:rPr>
      </w:pPr>
      <w:r>
        <w:tab/>
      </w:r>
    </w:p>
    <w:p>
      <w:pPr>
        <w:tabs>
          <w:tab w:val="left" w:pos="1600"/>
        </w:tabs>
        <w:rPr>
          <w:rFonts w:hint="eastAsia"/>
        </w:rPr>
      </w:pPr>
    </w:p>
    <w:p>
      <w:pPr>
        <w:pStyle w:val="13"/>
        <w:numPr>
          <w:ilvl w:val="0"/>
          <w:numId w:val="0"/>
        </w:numPr>
        <w:shd w:val="clear" w:color="FFFFFF" w:fill="FFFFFF"/>
        <w:tabs>
          <w:tab w:val="left" w:pos="5510"/>
        </w:tabs>
        <w:jc w:val="both"/>
        <w:outlineLvl w:val="9"/>
        <w:rPr>
          <w:rFonts w:hint="eastAsia" w:ascii="宋体" w:hAnsi="宋体" w:eastAsia="宋体" w:cs="宋体"/>
        </w:rPr>
      </w:pPr>
    </w:p>
    <w:p>
      <w:pPr>
        <w:pStyle w:val="3"/>
        <w:bidi w:val="0"/>
        <w:jc w:val="both"/>
        <w:outlineLvl w:val="9"/>
        <w:rPr>
          <w:rFonts w:hint="eastAsia"/>
        </w:rPr>
        <w:sectPr>
          <w:headerReference r:id="rId10" w:type="default"/>
          <w:footerReference r:id="rId11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</w:rPr>
      </w:pPr>
      <w:bookmarkStart w:id="1" w:name="_Toc31714"/>
    </w:p>
    <w:p>
      <w:pPr>
        <w:pStyle w:val="3"/>
        <w:bidi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  <w:bookmarkStart w:id="2" w:name="_Toc4671"/>
      <w:r>
        <w:rPr>
          <w:rFonts w:hint="eastAsia" w:ascii="黑体" w:hAnsi="黑体" w:eastAsia="黑体" w:cs="黑体"/>
          <w:sz w:val="32"/>
          <w:szCs w:val="32"/>
        </w:rPr>
        <w:t>前     言</w:t>
      </w:r>
      <w:bookmarkEnd w:id="1"/>
      <w:bookmarkEnd w:id="2"/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本标准按GB/T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1.1-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sz w:val="21"/>
          <w:szCs w:val="21"/>
        </w:rPr>
        <w:t>《标准化工作导则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部分：标准</w:t>
      </w:r>
      <w:r>
        <w:rPr>
          <w:rFonts w:hint="eastAsia" w:ascii="宋体" w:hAnsi="宋体" w:cs="宋体"/>
          <w:sz w:val="21"/>
          <w:szCs w:val="21"/>
          <w:lang w:eastAsia="zh-CN"/>
        </w:rPr>
        <w:t>化文件</w:t>
      </w:r>
      <w:r>
        <w:rPr>
          <w:rFonts w:hint="eastAsia" w:ascii="宋体" w:hAnsi="宋体" w:eastAsia="宋体" w:cs="宋体"/>
          <w:sz w:val="21"/>
          <w:szCs w:val="21"/>
        </w:rPr>
        <w:t>的结构和编写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起草</w:t>
      </w:r>
      <w:r>
        <w:rPr>
          <w:rFonts w:hint="eastAsia" w:ascii="宋体" w:hAnsi="宋体" w:eastAsia="宋体" w:cs="宋体"/>
          <w:sz w:val="21"/>
          <w:szCs w:val="21"/>
        </w:rPr>
        <w:t>规则》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的规定</w:t>
      </w:r>
      <w:r>
        <w:rPr>
          <w:rFonts w:hint="eastAsia" w:ascii="宋体" w:hAnsi="宋体" w:eastAsia="宋体" w:cs="宋体"/>
          <w:sz w:val="21"/>
          <w:szCs w:val="21"/>
        </w:rPr>
        <w:t>起草。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本标准由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安康市农业农村局</w:t>
      </w:r>
      <w:r>
        <w:rPr>
          <w:rFonts w:hint="eastAsia" w:ascii="宋体" w:hAnsi="宋体" w:eastAsia="宋体" w:cs="宋体"/>
          <w:sz w:val="21"/>
          <w:szCs w:val="21"/>
        </w:rPr>
        <w:t>提出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并归口管理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本标准主要起草单位：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汉滨区蚕茶果</w:t>
      </w:r>
      <w:r>
        <w:rPr>
          <w:rFonts w:hint="eastAsia" w:ascii="宋体" w:hAnsi="宋体" w:cs="宋体"/>
          <w:sz w:val="21"/>
          <w:szCs w:val="21"/>
          <w:lang w:eastAsia="zh-CN"/>
        </w:rPr>
        <w:t>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中心、安康市汉水韵茶业有限公司、</w:t>
      </w:r>
      <w:r>
        <w:rPr>
          <w:rFonts w:hint="eastAsia" w:ascii="宋体" w:hAnsi="宋体" w:cs="宋体"/>
          <w:sz w:val="21"/>
          <w:szCs w:val="21"/>
          <w:lang w:eastAsia="zh-CN"/>
        </w:rPr>
        <w:t>安康市农业技术推广中心、</w:t>
      </w:r>
      <w:r>
        <w:rPr>
          <w:rFonts w:hint="eastAsia" w:ascii="宋体" w:hAnsi="宋体" w:eastAsia="宋体" w:cs="宋体"/>
          <w:sz w:val="21"/>
          <w:szCs w:val="21"/>
        </w:rPr>
        <w:t>汉滨区茶产业协会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、安康市富硒茶工程技术研究中心。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本标准主要起草人：陈恒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王衍成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宋昌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都大俊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龚忠凯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孙园园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唐志伟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吴新春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。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12" w:type="default"/>
          <w:pgSz w:w="11906" w:h="16838"/>
          <w:pgMar w:top="567" w:right="1134" w:bottom="1134" w:left="1418" w:header="1418" w:footer="1134" w:gutter="0"/>
          <w:pgNumType w:fmt="decimal" w:start="1"/>
          <w:cols w:space="720" w:num="1"/>
          <w:formProt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本标准首次发</w:t>
      </w:r>
      <w:r>
        <w:rPr>
          <w:rFonts w:hint="eastAsia" w:ascii="宋体" w:hAnsi="宋体" w:cs="宋体"/>
          <w:sz w:val="21"/>
          <w:szCs w:val="21"/>
          <w:lang w:eastAsia="zh-CN"/>
        </w:rPr>
        <w:t>布。</w:t>
      </w:r>
    </w:p>
    <w:p>
      <w:pPr>
        <w:spacing w:line="620" w:lineRule="exact"/>
        <w:ind w:firstLine="161" w:firstLineChars="50"/>
        <w:jc w:val="center"/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  <w:lang w:eastAsia="zh-CN"/>
        </w:rPr>
      </w:pPr>
      <w:bookmarkStart w:id="3" w:name="_Toc1739_WPSOffice_Level2"/>
      <w:bookmarkStart w:id="4" w:name="_Toc3522_WPSOffice_Level2"/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</w:rPr>
        <w:t>陕茶1号</w:t>
      </w:r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  <w:lang w:val="en-US" w:eastAsia="zh-CN"/>
        </w:rPr>
        <w:t xml:space="preserve"> 第1部分：建园</w:t>
      </w:r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</w:rPr>
        <w:t>技术规</w:t>
      </w:r>
      <w:bookmarkEnd w:id="3"/>
      <w:bookmarkEnd w:id="4"/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  <w:lang w:eastAsia="zh-CN"/>
        </w:rPr>
        <w:t>范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beforeAutospacing="0" w:afterLines="0" w:afterAutospacing="0" w:line="360" w:lineRule="auto"/>
        <w:ind w:firstLine="422" w:firstLineChars="200"/>
        <w:jc w:val="both"/>
        <w:textAlignment w:val="auto"/>
        <w:outlineLvl w:val="0"/>
        <w:rPr>
          <w:rFonts w:hint="eastAsia" w:ascii="宋体" w:hAnsi="宋体" w:eastAsia="宋体" w:cs="宋体"/>
          <w:b/>
          <w:kern w:val="44"/>
          <w:sz w:val="21"/>
          <w:szCs w:val="21"/>
          <w:lang w:val="en-US" w:eastAsia="zh-CN" w:bidi="ar-SA"/>
        </w:rPr>
      </w:pP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5" w:name="_Toc18306"/>
      <w:bookmarkStart w:id="6" w:name="_Toc124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 范围</w:t>
      </w:r>
      <w:bookmarkEnd w:id="5"/>
      <w:bookmarkEnd w:id="6"/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本标准文件‘陕茶1号’建园技术规范，包括其种苗的选取、园地的选择、栽培的技术要领、栽培后幼苗期茶园的管理。本标准主要适用于‘陕茶1号’品种的栽培。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 规范性引用文件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下列文件的条款通过本标准的引用而成为标准的条款。注日期的引用文件，其随后所有的修改单（不包括勘误的内容）或修订版均不适用于本标准；凡是不注日期的引用文件，其最新版本适用于本标准。</w:t>
      </w:r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GB 3095      环境空气质量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 xml:space="preserve">GB 11767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茶树种苗</w:t>
      </w:r>
    </w:p>
    <w:p>
      <w:pPr>
        <w:bidi w:val="0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GB/T 8321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农药合理使用准则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GB/Z 26576   茶叶生产技术规范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GH/T 1245    生态茶园建设规范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NY/T 5018    茶叶生产技术规程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DB61/T1104   茶树品种 陕茶1号</w:t>
      </w:r>
    </w:p>
    <w:p>
      <w:pPr>
        <w:pStyle w:val="3"/>
        <w:bidi w:val="0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bookmarkStart w:id="7" w:name="_Toc15025"/>
      <w:bookmarkStart w:id="8" w:name="_Toc19996"/>
      <w:bookmarkStart w:id="9" w:name="_Toc19940"/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3 术语与定义</w:t>
      </w:r>
      <w:bookmarkEnd w:id="7"/>
      <w:bookmarkEnd w:id="8"/>
      <w:bookmarkEnd w:id="9"/>
    </w:p>
    <w:p>
      <w:pPr>
        <w:bidi w:val="0"/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  <w:t>NY/T 5018和GH/T 1245</w:t>
      </w:r>
      <w:r>
        <w:rPr>
          <w:rFonts w:hint="eastAsia" w:ascii="宋体" w:hAnsi="宋体" w:cs="宋体"/>
          <w:b w:val="0"/>
          <w:kern w:val="2"/>
          <w:sz w:val="21"/>
          <w:szCs w:val="21"/>
          <w:lang w:val="en-US" w:eastAsia="zh-CN" w:bidi="ar-SA"/>
        </w:rPr>
        <w:t>界定的相关</w:t>
      </w:r>
      <w:r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  <w:t>术语</w:t>
      </w:r>
      <w:r>
        <w:rPr>
          <w:rFonts w:hint="eastAsia" w:ascii="宋体" w:hAnsi="宋体" w:cs="宋体"/>
          <w:b w:val="0"/>
          <w:kern w:val="2"/>
          <w:sz w:val="21"/>
          <w:szCs w:val="21"/>
          <w:lang w:val="en-US" w:eastAsia="zh-CN" w:bidi="ar-SA"/>
        </w:rPr>
        <w:t>和定义适应于本文件</w:t>
      </w:r>
      <w:r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</w:pPr>
      <w:bookmarkStart w:id="10" w:name="_Toc26212"/>
      <w:bookmarkStart w:id="11" w:name="_Toc1940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 茶园园地建设</w:t>
      </w:r>
      <w:bookmarkEnd w:id="10"/>
      <w:bookmarkEnd w:id="11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2" w:name="_Toc26956_WPSOffice_Level2"/>
      <w:bookmarkStart w:id="13" w:name="_Toc2292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4.1园地选</w:t>
      </w:r>
      <w:bookmarkEnd w:id="12"/>
      <w:bookmarkEnd w:id="13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择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4.1.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产地环境要求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环境空气质量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符合GB 3095的规定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茶园土壤和灌溉水质量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符合 NY/T 5018 的要求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茶园环境应符合GH/T 1245的要求。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2园地要求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4" w:name="_Toc11530_WPSOffice_Level2"/>
      <w:bookmarkStart w:id="15" w:name="_Toc1612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茶园应选择土壤pH 值 4.5～6.5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土层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深厚、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质地良好的旱平地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坡地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 所在区域植被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良好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，生物多样性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丰富，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自然覆盖率不低于40%。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茶园具有一定规模且相对集中，应离公路干线直线距离大于200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。 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4 茶园道路布局合理，有主干道、支道、操作道等，能适应机械化生产要求。主干道宽 5～6m，支道2～3m，步道宽1.2m左右，环园道和地头道宽1.2m以上。道路修建按照NY/T 5018执行。 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.5 茶园排、蓄、灌水系统设置合理。根据茶园地形、地势，利用自然溪沟设置排水沟和蓄水池，主、支干道内侧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设置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排水沟。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园地开垦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.1整地时间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秋栽茶园</w:t>
      </w:r>
      <w:r>
        <w:rPr>
          <w:rFonts w:hint="eastAsia" w:ascii="宋体" w:hAnsi="宋体" w:cs="宋体"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8月底前完成园地整理，</w:t>
      </w:r>
      <w:r>
        <w:rPr>
          <w:rFonts w:hint="eastAsia" w:ascii="宋体" w:hAnsi="宋体" w:eastAsia="宋体" w:cs="宋体"/>
          <w:sz w:val="21"/>
          <w:szCs w:val="21"/>
        </w:rPr>
        <w:t>确保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种植带</w:t>
      </w:r>
      <w:r>
        <w:rPr>
          <w:rFonts w:hint="eastAsia" w:ascii="宋体" w:hAnsi="宋体" w:eastAsia="宋体" w:cs="宋体"/>
          <w:sz w:val="21"/>
          <w:szCs w:val="21"/>
        </w:rPr>
        <w:t>回填土层落实。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.2种植</w:t>
      </w:r>
      <w:bookmarkEnd w:id="14"/>
      <w:bookmarkEnd w:id="15"/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放线规格</w:t>
      </w:r>
    </w:p>
    <w:p>
      <w:pPr>
        <w:bidi w:val="0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双行种植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旱平地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和缓坡地</w:t>
      </w:r>
      <w:r>
        <w:rPr>
          <w:rFonts w:hint="eastAsia" w:ascii="宋体" w:hAnsi="宋体" w:eastAsia="宋体" w:cs="宋体"/>
          <w:sz w:val="21"/>
          <w:szCs w:val="21"/>
        </w:rPr>
        <w:t>采用双行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植。双行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</w:rPr>
        <w:t>宽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间隔放线。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单行种植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徒坡地采用单行种植。单</w:t>
      </w:r>
      <w:r>
        <w:rPr>
          <w:rFonts w:hint="eastAsia" w:ascii="宋体" w:hAnsi="宋体" w:eastAsia="宋体" w:cs="宋体"/>
          <w:sz w:val="21"/>
          <w:szCs w:val="21"/>
        </w:rPr>
        <w:t>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植</w:t>
      </w:r>
      <w:r>
        <w:rPr>
          <w:rFonts w:hint="eastAsia" w:ascii="宋体" w:hAnsi="宋体" w:eastAsia="宋体" w:cs="宋体"/>
          <w:sz w:val="21"/>
          <w:szCs w:val="21"/>
        </w:rPr>
        <w:t>带宽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空带</w:t>
      </w:r>
      <w:r>
        <w:rPr>
          <w:rFonts w:hint="eastAsia" w:ascii="宋体" w:hAnsi="宋体" w:eastAsia="宋体" w:cs="宋体"/>
          <w:sz w:val="21"/>
          <w:szCs w:val="21"/>
        </w:rPr>
        <w:t>90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间隔放线。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 不规则台地种植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采用单行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植，从外坎向里放线，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距</w:t>
      </w:r>
      <w:r>
        <w:rPr>
          <w:rFonts w:hint="eastAsia" w:ascii="宋体" w:hAnsi="宋体" w:eastAsia="宋体" w:cs="宋体"/>
          <w:sz w:val="21"/>
          <w:szCs w:val="21"/>
        </w:rPr>
        <w:t>坎沿40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～50cm</w:t>
      </w:r>
      <w:r>
        <w:rPr>
          <w:rFonts w:hint="eastAsia" w:ascii="宋体" w:hAnsi="宋体" w:eastAsia="宋体" w:cs="宋体"/>
          <w:sz w:val="21"/>
          <w:szCs w:val="21"/>
        </w:rPr>
        <w:t>设置第一个开挖带，按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种植</w:t>
      </w:r>
      <w:r>
        <w:rPr>
          <w:rFonts w:hint="eastAsia" w:ascii="宋体" w:hAnsi="宋体" w:eastAsia="宋体" w:cs="宋体"/>
          <w:sz w:val="21"/>
          <w:szCs w:val="21"/>
        </w:rPr>
        <w:t>带宽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空带</w:t>
      </w:r>
      <w:r>
        <w:rPr>
          <w:rFonts w:hint="eastAsia" w:ascii="宋体" w:hAnsi="宋体" w:eastAsia="宋体" w:cs="宋体"/>
          <w:sz w:val="21"/>
          <w:szCs w:val="21"/>
        </w:rPr>
        <w:t>90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间隔放线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种植</w:t>
      </w:r>
      <w:r>
        <w:rPr>
          <w:rFonts w:hint="eastAsia" w:ascii="宋体" w:hAnsi="宋体" w:eastAsia="宋体" w:cs="宋体"/>
          <w:sz w:val="21"/>
          <w:szCs w:val="21"/>
        </w:rPr>
        <w:t>带间距必须等距。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开挖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开槽沿着放线种植带从上往下开挖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开挖土层依次堆放，开挖深度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改土回填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.1肥料选择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选用农家肥、</w:t>
      </w:r>
      <w:r>
        <w:rPr>
          <w:rFonts w:hint="eastAsia" w:ascii="宋体" w:hAnsi="宋体" w:eastAsia="宋体" w:cs="宋体"/>
          <w:sz w:val="21"/>
          <w:szCs w:val="21"/>
        </w:rPr>
        <w:t>厩肥、饼肥或</w:t>
      </w:r>
      <w:r>
        <w:rPr>
          <w:rFonts w:hint="eastAsia" w:ascii="宋体" w:hAnsi="宋体" w:cs="宋体"/>
          <w:sz w:val="21"/>
          <w:szCs w:val="21"/>
          <w:lang w:eastAsia="zh-CN"/>
        </w:rPr>
        <w:t>秸秆</w:t>
      </w:r>
      <w:r>
        <w:rPr>
          <w:rFonts w:hint="eastAsia" w:ascii="宋体" w:hAnsi="宋体" w:eastAsia="宋体" w:cs="宋体"/>
          <w:sz w:val="21"/>
          <w:szCs w:val="21"/>
        </w:rPr>
        <w:t>等。采用</w:t>
      </w:r>
      <w:r>
        <w:rPr>
          <w:rFonts w:hint="eastAsia" w:ascii="宋体" w:hAnsi="宋体" w:cs="宋体"/>
          <w:sz w:val="21"/>
          <w:szCs w:val="21"/>
          <w:lang w:eastAsia="zh-CN"/>
        </w:rPr>
        <w:t>秸秆</w:t>
      </w:r>
      <w:bookmarkStart w:id="38" w:name="_GoBack"/>
      <w:bookmarkEnd w:id="38"/>
      <w:r>
        <w:rPr>
          <w:rFonts w:hint="eastAsia" w:ascii="宋体" w:hAnsi="宋体" w:eastAsia="宋体" w:cs="宋体"/>
          <w:sz w:val="21"/>
          <w:szCs w:val="21"/>
        </w:rPr>
        <w:t>的，应将</w:t>
      </w:r>
      <w:r>
        <w:rPr>
          <w:rFonts w:hint="eastAsia" w:ascii="宋体" w:hAnsi="宋体" w:cs="宋体"/>
          <w:sz w:val="21"/>
          <w:szCs w:val="21"/>
          <w:lang w:eastAsia="zh-CN"/>
        </w:rPr>
        <w:t>秸秆</w:t>
      </w:r>
      <w:r>
        <w:rPr>
          <w:rFonts w:hint="eastAsia" w:ascii="宋体" w:hAnsi="宋体" w:eastAsia="宋体" w:cs="宋体"/>
          <w:sz w:val="21"/>
          <w:szCs w:val="21"/>
        </w:rPr>
        <w:t>剪短20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以内，不宜整层整体垫施。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.2施肥改土方法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饼肥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667m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或厩肥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667m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有机肥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均匀的</w:t>
      </w:r>
      <w:r>
        <w:rPr>
          <w:rFonts w:hint="eastAsia" w:ascii="宋体" w:hAnsi="宋体" w:eastAsia="宋体" w:cs="宋体"/>
          <w:sz w:val="21"/>
          <w:szCs w:val="21"/>
        </w:rPr>
        <w:t>撒施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种植</w:t>
      </w:r>
      <w:r>
        <w:rPr>
          <w:rFonts w:hint="eastAsia" w:ascii="宋体" w:hAnsi="宋体" w:cs="宋体"/>
          <w:sz w:val="21"/>
          <w:szCs w:val="21"/>
          <w:lang w:eastAsia="zh-CN"/>
        </w:rPr>
        <w:t>带</w:t>
      </w:r>
      <w:r>
        <w:rPr>
          <w:rFonts w:hint="eastAsia" w:ascii="宋体" w:hAnsi="宋体" w:eastAsia="宋体" w:cs="宋体"/>
          <w:sz w:val="21"/>
          <w:szCs w:val="21"/>
        </w:rPr>
        <w:t>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部</w:t>
      </w:r>
      <w:r>
        <w:rPr>
          <w:rFonts w:hint="eastAsia" w:ascii="宋体" w:hAnsi="宋体" w:eastAsia="宋体" w:cs="宋体"/>
          <w:sz w:val="21"/>
          <w:szCs w:val="21"/>
        </w:rPr>
        <w:t>，再深翻底层</w:t>
      </w:r>
      <w:r>
        <w:rPr>
          <w:rFonts w:hint="eastAsia" w:ascii="宋体" w:hAnsi="宋体" w:cs="宋体"/>
          <w:sz w:val="21"/>
          <w:szCs w:val="21"/>
          <w:lang w:eastAsia="zh-CN"/>
        </w:rPr>
        <w:t>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，使底层</w:t>
      </w:r>
      <w:r>
        <w:rPr>
          <w:rFonts w:hint="eastAsia" w:ascii="宋体" w:hAnsi="宋体" w:cs="宋体"/>
          <w:sz w:val="21"/>
          <w:szCs w:val="21"/>
          <w:lang w:eastAsia="zh-CN"/>
        </w:rPr>
        <w:t>生</w:t>
      </w:r>
      <w:r>
        <w:rPr>
          <w:rFonts w:hint="eastAsia" w:ascii="宋体" w:hAnsi="宋体" w:eastAsia="宋体" w:cs="宋体"/>
          <w:sz w:val="21"/>
          <w:szCs w:val="21"/>
        </w:rPr>
        <w:t>土与有机肥料混合。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.3回填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先回填堆放上部的生土层，再回填堆放下部的熟土层，使原</w:t>
      </w:r>
      <w:r>
        <w:rPr>
          <w:rFonts w:hint="eastAsia" w:ascii="宋体" w:hAnsi="宋体" w:eastAsia="宋体" w:cs="宋体"/>
          <w:sz w:val="21"/>
          <w:szCs w:val="21"/>
        </w:rPr>
        <w:t>耕层</w:t>
      </w:r>
      <w:r>
        <w:rPr>
          <w:rFonts w:hint="eastAsia" w:ascii="宋体" w:hAnsi="宋体" w:cs="宋体"/>
          <w:sz w:val="21"/>
          <w:szCs w:val="21"/>
          <w:lang w:eastAsia="zh-CN"/>
        </w:rPr>
        <w:t>土壤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回填到表层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种植带回填</w:t>
      </w:r>
      <w:r>
        <w:rPr>
          <w:rFonts w:hint="eastAsia" w:ascii="宋体" w:hAnsi="宋体" w:cs="宋体"/>
          <w:sz w:val="21"/>
          <w:szCs w:val="21"/>
          <w:lang w:eastAsia="zh-CN"/>
        </w:rPr>
        <w:t>土壤</w:t>
      </w:r>
      <w:r>
        <w:rPr>
          <w:rFonts w:hint="eastAsia" w:ascii="宋体" w:hAnsi="宋体" w:eastAsia="宋体" w:cs="宋体"/>
          <w:sz w:val="21"/>
          <w:szCs w:val="21"/>
        </w:rPr>
        <w:t>应高于地表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6" w:name="_Toc29800"/>
      <w:bookmarkStart w:id="17" w:name="_Toc22803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 种植技术</w:t>
      </w:r>
      <w:bookmarkEnd w:id="16"/>
      <w:bookmarkEnd w:id="17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5.1种苗选择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 11767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茶树种苗的要求，选择品种纯度100%、等级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Ⅱ级以上的‘陕茶1号’种苗。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</w:rPr>
      </w:pPr>
      <w:bookmarkStart w:id="18" w:name="_Toc9561_WPSOffice_Level2"/>
      <w:bookmarkStart w:id="19" w:name="_Toc2207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5.2种植规格</w:t>
      </w:r>
      <w:bookmarkEnd w:id="18"/>
      <w:bookmarkEnd w:id="19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双行种植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大行距1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70cm</w:t>
      </w:r>
      <w:r>
        <w:rPr>
          <w:rFonts w:hint="eastAsia" w:ascii="宋体" w:hAnsi="宋体" w:eastAsia="宋体" w:cs="宋体"/>
          <w:sz w:val="21"/>
          <w:szCs w:val="21"/>
        </w:rPr>
        <w:t>，小行距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45cm</w:t>
      </w:r>
      <w:r>
        <w:rPr>
          <w:rFonts w:hint="eastAsia" w:ascii="宋体" w:hAnsi="宋体" w:eastAsia="宋体" w:cs="宋体"/>
          <w:sz w:val="21"/>
          <w:szCs w:val="21"/>
        </w:rPr>
        <w:t>，株距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45cm</w:t>
      </w:r>
      <w:r>
        <w:rPr>
          <w:rFonts w:hint="eastAsia" w:ascii="宋体" w:hAnsi="宋体" w:eastAsia="宋体" w:cs="宋体"/>
          <w:sz w:val="21"/>
          <w:szCs w:val="21"/>
        </w:rPr>
        <w:t>，每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穴</w:t>
      </w:r>
      <w:r>
        <w:rPr>
          <w:rFonts w:hint="eastAsia" w:ascii="宋体" w:hAnsi="宋体" w:eastAsia="宋体" w:cs="宋体"/>
          <w:sz w:val="21"/>
          <w:szCs w:val="21"/>
        </w:rPr>
        <w:t>定植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株。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单行种植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坡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</w:rPr>
        <w:t>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0cm</w:t>
      </w:r>
      <w:r>
        <w:rPr>
          <w:rFonts w:hint="eastAsia" w:ascii="宋体" w:hAnsi="宋体" w:eastAsia="宋体" w:cs="宋体"/>
          <w:sz w:val="21"/>
          <w:szCs w:val="21"/>
        </w:rPr>
        <w:t>，株距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30cm</w:t>
      </w:r>
      <w:r>
        <w:rPr>
          <w:rFonts w:hint="eastAsia" w:ascii="宋体" w:hAnsi="宋体" w:eastAsia="宋体" w:cs="宋体"/>
          <w:sz w:val="21"/>
          <w:szCs w:val="21"/>
        </w:rPr>
        <w:t>，每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穴</w:t>
      </w:r>
      <w:r>
        <w:rPr>
          <w:rFonts w:hint="eastAsia" w:ascii="宋体" w:hAnsi="宋体" w:eastAsia="宋体" w:cs="宋体"/>
          <w:sz w:val="21"/>
          <w:szCs w:val="21"/>
        </w:rPr>
        <w:t>定植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株。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0" w:name="_Toc23334_WPSOffice_Level2"/>
      <w:bookmarkStart w:id="21" w:name="_Toc2898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植时间</w:t>
      </w:r>
      <w:bookmarkEnd w:id="20"/>
      <w:bookmarkEnd w:id="21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陕南地区茶树最佳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植时间为9月下旬至10月下旬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海拔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高度600m以上区域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应提早种植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2" w:name="_Toc22064_WPSOffice_Level2"/>
      <w:bookmarkStart w:id="23" w:name="_Toc28605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5.4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植方法</w:t>
      </w:r>
      <w:bookmarkEnd w:id="22"/>
      <w:bookmarkEnd w:id="23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挖</w:t>
      </w:r>
      <w:r>
        <w:rPr>
          <w:rFonts w:hint="eastAsia" w:ascii="宋体" w:hAnsi="宋体" w:eastAsia="宋体" w:cs="宋体"/>
          <w:sz w:val="21"/>
          <w:szCs w:val="21"/>
        </w:rPr>
        <w:t>种植沟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20cm，深10～15cm，</w:t>
      </w:r>
      <w:r>
        <w:rPr>
          <w:rFonts w:hint="eastAsia" w:ascii="宋体" w:hAnsi="宋体" w:eastAsia="宋体" w:cs="宋体"/>
          <w:sz w:val="21"/>
          <w:szCs w:val="21"/>
        </w:rPr>
        <w:t>沟底平坦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，浇水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润土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后栽植。</w:t>
      </w:r>
      <w:r>
        <w:rPr>
          <w:rFonts w:hint="eastAsia" w:ascii="宋体" w:hAnsi="宋体" w:eastAsia="宋体" w:cs="宋体"/>
          <w:sz w:val="21"/>
          <w:szCs w:val="21"/>
        </w:rPr>
        <w:t>茶苗分级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种植</w:t>
      </w:r>
      <w:r>
        <w:rPr>
          <w:rFonts w:hint="eastAsia" w:ascii="宋体" w:hAnsi="宋体" w:eastAsia="宋体" w:cs="宋体"/>
          <w:sz w:val="21"/>
          <w:szCs w:val="21"/>
        </w:rPr>
        <w:t>，不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</w:rPr>
        <w:t>大小混栽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双行种植茶苗呈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“品”字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形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植时茶苗放入种植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沟</w:t>
      </w:r>
      <w:r>
        <w:rPr>
          <w:rFonts w:hint="eastAsia" w:ascii="宋体" w:hAnsi="宋体" w:eastAsia="宋体" w:cs="宋体"/>
          <w:sz w:val="21"/>
          <w:szCs w:val="21"/>
        </w:rPr>
        <w:t>，覆细土到根颈部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向上稍提使根系舒展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与土壤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充分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接触；</w:t>
      </w:r>
      <w:r>
        <w:rPr>
          <w:rFonts w:hint="eastAsia" w:ascii="宋体" w:hAnsi="宋体" w:eastAsia="宋体" w:cs="宋体"/>
          <w:sz w:val="21"/>
          <w:szCs w:val="21"/>
        </w:rPr>
        <w:t>两手大姆指、食指、中指微曲身体重心前倾将覆土压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实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行端</w:t>
      </w:r>
      <w:r>
        <w:rPr>
          <w:rFonts w:hint="eastAsia" w:ascii="宋体" w:hAnsi="宋体" w:eastAsia="宋体" w:cs="宋体"/>
          <w:sz w:val="21"/>
          <w:szCs w:val="21"/>
        </w:rPr>
        <w:t>苗正，浇足定根水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</w:rPr>
        <w:t>覆土。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4" w:name="_Toc21240"/>
      <w:bookmarkStart w:id="25" w:name="_Toc1827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 茶园幼苗期管理</w:t>
      </w:r>
      <w:bookmarkEnd w:id="24"/>
      <w:bookmarkEnd w:id="25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6" w:name="_Toc32193_WPSOffice_Level2"/>
      <w:bookmarkStart w:id="27" w:name="_Toc13031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6.1 覆盖</w:t>
      </w:r>
      <w:bookmarkEnd w:id="26"/>
      <w:bookmarkEnd w:id="27"/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植后在墒情较好的情况下，种植带覆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盖</w:t>
      </w:r>
      <w:r>
        <w:rPr>
          <w:rFonts w:hint="eastAsia" w:ascii="宋体" w:hAnsi="宋体" w:eastAsia="宋体" w:cs="宋体"/>
          <w:sz w:val="21"/>
          <w:szCs w:val="21"/>
        </w:rPr>
        <w:t>黑色地膜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防草布或秸秆等有机物。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8" w:name="_Toc13896_WPSOffice_Level2"/>
      <w:bookmarkStart w:id="29" w:name="_Toc1304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6.2早春补</w:t>
      </w:r>
      <w:bookmarkEnd w:id="28"/>
      <w:bookmarkEnd w:id="29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新建茶园应预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留</w:t>
      </w: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壮苗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用于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补植用苗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补植时间应在</w:t>
      </w:r>
      <w:r>
        <w:rPr>
          <w:rFonts w:hint="eastAsia" w:ascii="宋体" w:hAnsi="宋体" w:cs="宋体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z w:val="21"/>
          <w:szCs w:val="21"/>
        </w:rPr>
        <w:t>年的二月中下旬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</w:t>
      </w:r>
      <w:r>
        <w:rPr>
          <w:rFonts w:hint="eastAsia" w:ascii="宋体" w:hAnsi="宋体" w:eastAsia="宋体" w:cs="宋体"/>
          <w:sz w:val="21"/>
          <w:szCs w:val="21"/>
        </w:rPr>
        <w:t>茶芽萌动之前进行。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0" w:name="_Toc5752_WPSOffice_Level2"/>
      <w:bookmarkStart w:id="31" w:name="_Toc16751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6.3施肥管理</w:t>
      </w:r>
      <w:bookmarkEnd w:id="30"/>
      <w:bookmarkEnd w:id="31"/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6.3.1 施肥时间、种类、用量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vertAlign w:val="baseline"/>
        </w:rPr>
      </w:pPr>
      <w:r>
        <w:rPr>
          <w:rFonts w:hint="eastAsia" w:ascii="宋体" w:hAnsi="宋体" w:eastAsia="宋体" w:cs="宋体"/>
          <w:sz w:val="21"/>
          <w:szCs w:val="21"/>
        </w:rPr>
        <w:t>第一次施肥在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次年</w:t>
      </w:r>
      <w:r>
        <w:rPr>
          <w:rFonts w:hint="eastAsia" w:ascii="宋体" w:hAnsi="宋体" w:eastAsia="宋体" w:cs="宋体"/>
          <w:sz w:val="21"/>
          <w:szCs w:val="21"/>
        </w:rPr>
        <w:t>5月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上中</w:t>
      </w:r>
      <w:r>
        <w:rPr>
          <w:rFonts w:hint="eastAsia" w:ascii="宋体" w:hAnsi="宋体" w:eastAsia="宋体" w:cs="宋体"/>
          <w:sz w:val="21"/>
          <w:szCs w:val="21"/>
        </w:rPr>
        <w:t>旬进行，采用尿素与复合肥各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第二次施肥在6月下旬，采用尿素、复合肥各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混合施入；1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月施基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肥</w:t>
      </w:r>
      <w:r>
        <w:rPr>
          <w:rFonts w:hint="eastAsia" w:ascii="宋体" w:hAnsi="宋体" w:eastAsia="宋体" w:cs="宋体"/>
          <w:sz w:val="21"/>
          <w:szCs w:val="21"/>
        </w:rPr>
        <w:t>一次，采用腐熟饼肥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混合尿素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第三年5月上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旬进行第一次施肥，每亩采用尿素与复合肥各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混合施入；7月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下旬进行第二次施肥，采用每亩尿素、复合肥各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6.3.2 施肥方法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沟施，距离</w:t>
      </w:r>
      <w:r>
        <w:rPr>
          <w:rFonts w:hint="eastAsia" w:ascii="宋体" w:hAnsi="宋体" w:cs="宋体"/>
          <w:sz w:val="21"/>
          <w:szCs w:val="21"/>
          <w:lang w:eastAsia="zh-CN"/>
        </w:rPr>
        <w:t>茶树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根茎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沟施深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穴施，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距离每株茶树根茎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施肥后必须覆土。</w:t>
      </w:r>
    </w:p>
    <w:p>
      <w:pPr>
        <w:pStyle w:val="4"/>
        <w:bidi w:val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32" w:name="_Toc1059_WPSOffice_Level2"/>
      <w:bookmarkStart w:id="33" w:name="_Toc14009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6.4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归并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补</w:t>
      </w:r>
      <w:bookmarkEnd w:id="32"/>
      <w:bookmarkEnd w:id="33"/>
      <w:r>
        <w:rPr>
          <w:rFonts w:hint="eastAsia" w:ascii="宋体" w:hAnsi="宋体" w:cs="宋体"/>
          <w:sz w:val="21"/>
          <w:szCs w:val="21"/>
          <w:lang w:val="en-US" w:eastAsia="zh-CN"/>
        </w:rPr>
        <w:t>植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第二年9月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下旬至10上旬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墒情较好的情况下，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地块</w:t>
      </w:r>
      <w:r>
        <w:rPr>
          <w:rFonts w:hint="eastAsia" w:ascii="宋体" w:hAnsi="宋体" w:cs="宋体"/>
          <w:sz w:val="21"/>
          <w:szCs w:val="21"/>
          <w:lang w:eastAsia="zh-CN"/>
        </w:rPr>
        <w:t>同龄茶苗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带土</w:t>
      </w:r>
      <w:r>
        <w:rPr>
          <w:rFonts w:hint="eastAsia" w:ascii="宋体" w:hAnsi="宋体" w:eastAsia="宋体" w:cs="宋体"/>
          <w:sz w:val="21"/>
          <w:szCs w:val="21"/>
        </w:rPr>
        <w:t>归并补植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4" w:name="_Toc26849_WPSOffice_Level2"/>
      <w:bookmarkStart w:id="35" w:name="_Toc1324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6.5 适时修剪</w:t>
      </w:r>
      <w:bookmarkEnd w:id="34"/>
      <w:bookmarkEnd w:id="35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第一次定型修剪在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种植后</w:t>
      </w:r>
      <w:r>
        <w:rPr>
          <w:rFonts w:hint="eastAsia" w:ascii="宋体" w:hAnsi="宋体" w:eastAsia="宋体" w:cs="宋体"/>
          <w:sz w:val="21"/>
          <w:szCs w:val="21"/>
        </w:rPr>
        <w:t>进行，离地25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剪去顶梢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植茶苗在苗床已进行定型修剪，分枝正常的幼苗不需要修剪。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第二次定型修剪在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次年7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上中旬</w:t>
      </w:r>
      <w:r>
        <w:rPr>
          <w:rFonts w:hint="eastAsia" w:ascii="宋体" w:hAnsi="宋体" w:eastAsia="宋体" w:cs="宋体"/>
          <w:sz w:val="21"/>
          <w:szCs w:val="21"/>
        </w:rPr>
        <w:t>进行，离地35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cm剪去顶梢。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第三次定型修剪在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次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月上旬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前</w:t>
      </w:r>
      <w:r>
        <w:rPr>
          <w:rFonts w:hint="eastAsia" w:ascii="宋体" w:hAnsi="宋体" w:eastAsia="宋体" w:cs="宋体"/>
          <w:sz w:val="21"/>
          <w:szCs w:val="21"/>
        </w:rPr>
        <w:t>进行，离地50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cm剪去顶梢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6" w:name="_Toc10387_WPSOffice_Level2"/>
      <w:bookmarkStart w:id="37" w:name="_Toc26653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6.6科学采摘</w:t>
      </w:r>
      <w:bookmarkEnd w:id="36"/>
      <w:bookmarkEnd w:id="37"/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第三年春季可进行打顶采，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以养为主，以采为辅，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促进分枝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秋季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正式投产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6.7茶园病虫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草害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防治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GB/T 8321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NY/T 5018执行。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  <w:t>_____________________</w:t>
      </w:r>
    </w:p>
    <w:p/>
    <w:sectPr>
      <w:headerReference r:id="rId13" w:type="default"/>
      <w:footerReference r:id="rId14" w:type="default"/>
      <w:pgSz w:w="11906" w:h="16838"/>
      <w:pgMar w:top="1440" w:right="1519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ind w:right="32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FcYPjSAAAAAwEAAA8AAAAAAAAAAQAgAAAAIgAAAGRycy9kb3ducmV2LnhtbFBL&#10;AQIUABQAAAAIAIdO4kBOM64TwwEAAIoDAAAOAAAAAAAAAAEAIAAAACE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Vxg+NIAAAADAQAADwAAAAAAAAABACAAAAAiAAAAZHJzL2Rvd25yZXYueG1s&#10;UEsBAhQAFAAAAAgAh07iQHV9txn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Vxg+NIAAAADAQAADwAAAAAAAAABACAAAAAiAAAAZHJzL2Rvd25yZXYueG1s&#10;UEsBAhQAFAAAAAgAh07iQOgPF3b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rFonts w:hint="eastAsia"/>
      </w:rPr>
      <w:t>DB6109/T 10～16—2012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page" w:hAnchor="page" w:x="9455" w:y="1428"/>
      <w:wordWrap w:val="0"/>
      <w:ind w:right="1884" w:firstLine="3755" w:firstLineChars="300"/>
      <w:jc w:val="both"/>
      <w:rPr>
        <w:rFonts w:hint="default" w:eastAsia="宋体"/>
        <w:sz w:val="56"/>
        <w:szCs w:val="56"/>
        <w:lang w:val="en-US" w:eastAsia="zh-CN"/>
      </w:rPr>
    </w:pPr>
    <w:r>
      <w:rPr>
        <w:rFonts w:hint="eastAsia" w:ascii="Calibri" w:hAnsi="Calibri" w:eastAsia="宋体" w:cs="Times New Roman"/>
      </w:rPr>
      <w:t xml:space="preserve">                                                            </w:t>
    </w:r>
    <w:r>
      <w:rPr>
        <w:rFonts w:hint="eastAsia"/>
        <w:sz w:val="56"/>
        <w:szCs w:val="56"/>
        <w:lang w:val="en-US" w:eastAsia="zh-CN"/>
      </w:rPr>
      <w:t xml:space="preserve">DB   </w:t>
    </w:r>
  </w:p>
  <w:p>
    <w:pPr>
      <w:bidi w:val="0"/>
      <w:ind w:firstLine="5320" w:firstLineChars="1900"/>
      <w:rPr>
        <w:rFonts w:hint="default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DB6109/TXX.XX-2022</w:t>
    </w:r>
    <w:r>
      <w:rPr>
        <w:rFonts w:hint="eastAsia" w:ascii="Times New Roman" w:hAnsi="宋体" w:eastAsia="宋体"/>
        <w:sz w:val="28"/>
        <w:szCs w:val="28"/>
        <w:lang w:val="en-US" w:eastAsia="zh-CN"/>
      </w:rP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  <w:rPr>
        <w:rFonts w:hint="eastAsia"/>
      </w:rPr>
    </w:pPr>
    <w:r>
      <w:rPr>
        <w:rFonts w:hint="eastAsia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MDYyYjExYmI2YjU4MmMwYzhlOWNkY2IyYmI4YjYifQ=="/>
  </w:docVars>
  <w:rsids>
    <w:rsidRoot w:val="00000000"/>
    <w:rsid w:val="04EF1A0A"/>
    <w:rsid w:val="0CE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00" w:firstLineChars="200"/>
      <w:jc w:val="both"/>
    </w:pPr>
    <w:rPr>
      <w:rFonts w:ascii="仿宋_GB2312" w:hAnsi="仿宋_GB2312" w:eastAsia="宋体" w:cs="Times New Roman"/>
      <w:kern w:val="2"/>
      <w:sz w:val="24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outlineLvl w:val="0"/>
    </w:pPr>
    <w:rPr>
      <w:rFonts w:eastAsia="宋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 w:eastAsia="宋体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0" w:firstLineChars="0"/>
      <w:jc w:val="left"/>
      <w:outlineLvl w:val="2"/>
    </w:pPr>
    <w:rPr>
      <w:rFonts w:ascii="仿宋_GB2312" w:hAnsi="仿宋_GB2312"/>
      <w:b/>
      <w:sz w:val="24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character" w:styleId="10">
    <w:name w:val="page number"/>
    <w:basedOn w:val="9"/>
    <w:qFormat/>
    <w:uiPriority w:val="0"/>
    <w:rPr>
      <w:rFonts w:ascii="Times New Roman" w:hAnsi="Times New Roman" w:eastAsia="宋体"/>
      <w:sz w:val="18"/>
    </w:rPr>
  </w:style>
  <w:style w:type="paragraph" w:customStyle="1" w:styleId="11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3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14">
    <w:name w:val="其他发布部门"/>
    <w:basedOn w:val="1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5">
    <w:name w:val="发布部门"/>
    <w:next w:val="1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Calibri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6">
    <w:name w:val="发布"/>
    <w:basedOn w:val="9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7">
    <w:name w:val="实施日期"/>
    <w:basedOn w:val="18"/>
    <w:qFormat/>
    <w:uiPriority w:val="0"/>
    <w:pPr>
      <w:framePr w:hSpace="0" w:xAlign="right"/>
      <w:jc w:val="right"/>
    </w:pPr>
  </w:style>
  <w:style w:type="paragraph" w:customStyle="1" w:styleId="18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1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2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21">
    <w:name w:val="封面一致性程度标识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22">
    <w:name w:val="封面标准文稿类别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23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25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paragraph" w:customStyle="1" w:styleId="2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29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0">
    <w:name w:val="标准书脚_奇数页"/>
    <w:qFormat/>
    <w:uiPriority w:val="0"/>
    <w:pPr>
      <w:spacing w:before="120"/>
      <w:jc w:val="right"/>
    </w:pPr>
    <w:rPr>
      <w:rFonts w:ascii="Calibri" w:hAnsi="Calibri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2022-07-06T02:50:00Z</dcterms:created>
  <dc:creator>Administrator</dc:creator>
  <cp:lastModifiedBy>蹄蹄</cp:lastModifiedBy>
  <dcterms:modified xsi:type="dcterms:W3CDTF">2023-10-20T03:35:25Z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B7BD3749A831414C80A6DB51A194389C</vt:lpwstr>
  </property>
</Properties>
</file>